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D80C1F">
        <w:rPr>
          <w:rFonts w:cs="Arial"/>
          <w:sz w:val="24"/>
          <w:lang w:val="en-US"/>
        </w:rPr>
        <w:t>81</w:t>
      </w:r>
      <w:r w:rsidRPr="005F67E6">
        <w:rPr>
          <w:rFonts w:ascii="Times New Roman" w:hAnsi="Times New Roman"/>
          <w:sz w:val="24"/>
        </w:rPr>
        <w:tab/>
      </w:r>
      <w:r w:rsidR="00F020F5" w:rsidRPr="00F020F5">
        <w:rPr>
          <w:rFonts w:cs="Arial"/>
          <w:sz w:val="22"/>
          <w:lang w:val="en-US"/>
        </w:rPr>
        <w:t>R4-1609617</w:t>
      </w:r>
    </w:p>
    <w:p w:rsidR="00D80C1F" w:rsidRPr="00337786" w:rsidRDefault="00D80C1F" w:rsidP="00D80C1F">
      <w:pPr>
        <w:pStyle w:val="Header"/>
        <w:rPr>
          <w:rFonts w:cs="Arial"/>
          <w:bCs/>
          <w:sz w:val="24"/>
        </w:rPr>
      </w:pPr>
      <w:r>
        <w:rPr>
          <w:rFonts w:cs="Arial"/>
          <w:bCs/>
          <w:sz w:val="24"/>
          <w:lang w:val="it-IT"/>
        </w:rPr>
        <w:t>Reno, USA, 14 – 18 NOV</w:t>
      </w:r>
      <w:r w:rsidRPr="00337786">
        <w:rPr>
          <w:rFonts w:cs="Arial"/>
          <w:bCs/>
          <w:sz w:val="24"/>
        </w:rPr>
        <w:t xml:space="preserve"> 2016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23184B">
        <w:rPr>
          <w:sz w:val="22"/>
          <w:lang w:val="en-US"/>
        </w:rPr>
        <w:t>8.2</w:t>
      </w:r>
      <w:r w:rsidR="00F659FA">
        <w:rPr>
          <w:sz w:val="22"/>
          <w:lang w:val="en-US"/>
        </w:rPr>
        <w:t>5</w:t>
      </w:r>
      <w:r w:rsidR="00CE55F9">
        <w:rPr>
          <w:sz w:val="22"/>
          <w:lang w:val="en-US"/>
        </w:rPr>
        <w:t>.3.2.1</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r w:rsidR="00DF0902">
        <w:rPr>
          <w:bCs/>
          <w:sz w:val="22"/>
        </w:rPr>
        <w:t xml:space="preserve">, </w:t>
      </w:r>
      <w:r w:rsidR="00DF0902" w:rsidRPr="00DF0902">
        <w:rPr>
          <w:bCs/>
          <w:sz w:val="22"/>
        </w:rPr>
        <w:t>Alcatel-Lucent</w:t>
      </w:r>
      <w:r w:rsidR="00DF0902">
        <w:rPr>
          <w:bCs/>
          <w:sz w:val="22"/>
        </w:rPr>
        <w:t xml:space="preserve"> Shanghai Bell</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F671E1" w:rsidRPr="00D74B44">
        <w:rPr>
          <w:sz w:val="22"/>
          <w:szCs w:val="22"/>
        </w:rPr>
        <w:t xml:space="preserve">eMTC </w:t>
      </w:r>
      <w:r w:rsidR="00867C75" w:rsidRPr="00D74B44">
        <w:rPr>
          <w:sz w:val="22"/>
          <w:szCs w:val="22"/>
        </w:rPr>
        <w:t xml:space="preserve">intra- and inter-frequency </w:t>
      </w:r>
      <w:r w:rsidR="00F671E1" w:rsidRPr="00D74B44">
        <w:rPr>
          <w:sz w:val="22"/>
          <w:szCs w:val="22"/>
        </w:rPr>
        <w:t>measurement</w:t>
      </w:r>
      <w:r w:rsidR="00F92A62" w:rsidRPr="00D74B44">
        <w:rPr>
          <w:sz w:val="22"/>
          <w:szCs w:val="22"/>
        </w:rPr>
        <w:t xml:space="preserve">s </w:t>
      </w:r>
      <w:r w:rsidR="00F671E1" w:rsidRPr="00D74B44">
        <w:rPr>
          <w:sz w:val="22"/>
          <w:szCs w:val="22"/>
        </w:rPr>
        <w:t>without measurement gap</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D74B44">
        <w:rPr>
          <w:sz w:val="22"/>
        </w:rPr>
        <w:t>Approval</w:t>
      </w:r>
    </w:p>
    <w:p w:rsidR="005F0A31" w:rsidRPr="005F67E6" w:rsidRDefault="005F0A31" w:rsidP="005F0A31">
      <w:pPr>
        <w:pStyle w:val="Heading1"/>
        <w:ind w:left="431" w:hanging="431"/>
      </w:pPr>
      <w:r w:rsidRPr="005F67E6">
        <w:t>Introduction</w:t>
      </w:r>
      <w:bookmarkStart w:id="0" w:name="OLE_LINK13"/>
      <w:bookmarkStart w:id="1" w:name="OLE_LINK14"/>
    </w:p>
    <w:p w:rsidR="009C7D38" w:rsidRPr="00A90F19" w:rsidRDefault="00336314" w:rsidP="000C43CA">
      <w:r>
        <w:t xml:space="preserve">eMTC UEs works on a narrowband that is defined as six non-overlapping consecutive physical resource blocks </w:t>
      </w:r>
      <w:r w:rsidR="00515652">
        <w:t>(PRBs) in the frequency domain</w:t>
      </w:r>
      <w:r>
        <w:t xml:space="preserve">. Due to the fact that the Primary Synchronization Signal (PSS) and Secondary Synchronization (SSS) are transmitted only in the centre 6 PRBs of the carrier bandwidth, and </w:t>
      </w:r>
      <w:r w:rsidR="00515652">
        <w:t>no eMTC narrowband</w:t>
      </w:r>
      <w:r>
        <w:t xml:space="preserve"> cover</w:t>
      </w:r>
      <w:r w:rsidR="00515652">
        <w:t>s</w:t>
      </w:r>
      <w:r>
        <w:t xml:space="preserve"> the centre 6 PRBs as per narrowband definition </w:t>
      </w:r>
      <w:r w:rsidR="00515652">
        <w:t xml:space="preserve">given </w:t>
      </w:r>
      <w:r>
        <w:t xml:space="preserve">in [1], eMTC UEs require measurement gaps even for performing intra-frequency measurements from neighbouring cells. </w:t>
      </w:r>
      <w:r w:rsidR="009C7D38">
        <w:t xml:space="preserve">Thus, </w:t>
      </w:r>
      <w:r w:rsidR="000C43CA">
        <w:t>current eMTC intra-frequency measurements are defined under the assumption that “</w:t>
      </w:r>
      <w:r w:rsidR="009C7D38" w:rsidRPr="00A90F19">
        <w:t>UE is configured with measurement gap according to any of gap patt</w:t>
      </w:r>
      <w:r w:rsidR="000C43CA">
        <w:t>erns defined in Table 8.1.2.1-1” in TS 36.133 [2].</w:t>
      </w:r>
    </w:p>
    <w:p w:rsidR="009C7D38" w:rsidRDefault="004D0AA5" w:rsidP="00336314">
      <w:r>
        <w:t xml:space="preserve">In this paper, we discuss </w:t>
      </w:r>
      <w:r w:rsidR="000C43CA">
        <w:t xml:space="preserve">eMTC intra-frequency </w:t>
      </w:r>
      <w:r w:rsidR="00515652">
        <w:t xml:space="preserve">and inter-frequency </w:t>
      </w:r>
      <w:r w:rsidR="006F1E2A">
        <w:t xml:space="preserve">cell search and </w:t>
      </w:r>
      <w:r>
        <w:t>measurements without configuring</w:t>
      </w:r>
      <w:r w:rsidRPr="00A90F19">
        <w:t xml:space="preserve"> gap </w:t>
      </w:r>
      <w:r>
        <w:t>by exploring MPDCCH configurations.</w:t>
      </w:r>
    </w:p>
    <w:p w:rsidR="009C7D38" w:rsidRDefault="000C43CA" w:rsidP="00984E81">
      <w:pPr>
        <w:pStyle w:val="Heading1"/>
        <w:ind w:left="431" w:hanging="431"/>
      </w:pPr>
      <w:r>
        <w:t>Discussion</w:t>
      </w:r>
    </w:p>
    <w:p w:rsidR="00B41402" w:rsidRPr="00FC0A59" w:rsidRDefault="00264D58" w:rsidP="00B41402">
      <w:r>
        <w:t xml:space="preserve">Currently, </w:t>
      </w:r>
      <w:r w:rsidR="00B41402" w:rsidRPr="00FC0A59">
        <w:t>two fixed measurement gap patterns</w:t>
      </w:r>
      <w:r w:rsidR="00B41402">
        <w:t xml:space="preserve"> are defined in TS 36.133</w:t>
      </w:r>
      <w:r w:rsidR="00B41402" w:rsidRPr="00FC0A59">
        <w:t xml:space="preserve">: one with a measurement gap period of 40ms (i.e., 40 subframes), and the other a measurement gap period of 80ms. The gap duration for both measurement gap patterns is 6ms. The </w:t>
      </w:r>
      <w:r>
        <w:t xml:space="preserve">original </w:t>
      </w:r>
      <w:r w:rsidR="00B41402" w:rsidRPr="00FC0A59">
        <w:t xml:space="preserve">purpose of measurement gap patterns is to allow a </w:t>
      </w:r>
      <w:r>
        <w:t xml:space="preserve">legacy LTE </w:t>
      </w:r>
      <w:r w:rsidR="00B41402" w:rsidRPr="00FC0A59">
        <w:t>UE, which is not capable of supporting cell search of other cells while communising with the serving cell, to temporarily stopping its communication with the serving cell during the measurement gaps, and use the time of measurement gaps for identifying and measuring other inter-frequency or inter-RAT cells. During the measurements gaps, the UE will tune the RF frequency of its receiving RF chain from the serving frequency to the frequencies of neighbouring cells.</w:t>
      </w:r>
    </w:p>
    <w:p w:rsidR="001410FB" w:rsidRPr="00A90F19" w:rsidRDefault="001410FB" w:rsidP="001410FB">
      <w:r>
        <w:t>eMTC UEs works on a narrowband that is defined as six non-overlapping consecutive physical resource blocks (PRBs) in the frequency domain. Due to the fact that the Primary Synchronization Signal (PSS) and Secondary Synchronization (SSS) are transmitted only in the centre 6 PRBs of the carrier bandwidth, and no eMTC narrowband covers the centre 6 PRBs as per narrowband definition given in [1], eMTC UEs require measurement gaps even for performing intra-frequency measurements from neighbouring cells. Thus, current eMTC intra-frequency measurements are defined under the assumption that “</w:t>
      </w:r>
      <w:r w:rsidRPr="00A90F19">
        <w:t>UE is configured with measurement gap according to any of gap patt</w:t>
      </w:r>
      <w:r>
        <w:t>erns defined in Table 8.1.2.1-1” in TS 36.133 [2].</w:t>
      </w:r>
    </w:p>
    <w:p w:rsidR="001410FB" w:rsidRDefault="001410FB" w:rsidP="001410FB">
      <w:r w:rsidRPr="00FC0A59">
        <w:t>During the measurement gaps the UE cannot transmit and receive any data from the serving cell. Thus, when a UE is configured with a measurement gap, the interruption on data service is, at least, 6ms out of every 40ms or every 80ms, depending on the measurement gap pattern configuration. In reality, the interruption caused by the measurement gap is larger than 6ms out of every 40ms or every 80ms in both uplink and downlink transmissions due to the consideration of HARQ ACK/NACK transmission.</w:t>
      </w:r>
    </w:p>
    <w:p w:rsidR="00B41402" w:rsidRDefault="00B41402" w:rsidP="00B41402">
      <w:r w:rsidRPr="00FC0A59">
        <w:t xml:space="preserve">For eMTC systems, the impact of measurement gap on data communication performance becomes even more </w:t>
      </w:r>
      <w:r w:rsidR="00091B10">
        <w:t>severe for a number of reasons:</w:t>
      </w:r>
    </w:p>
    <w:p w:rsidR="002325E4" w:rsidRDefault="002325E4" w:rsidP="009B73DD">
      <w:pPr>
        <w:pStyle w:val="ListParagraph"/>
        <w:numPr>
          <w:ilvl w:val="0"/>
          <w:numId w:val="43"/>
        </w:numPr>
      </w:pPr>
      <w:r>
        <w:t>The number of repetitions of uplink and downlink control and data channels can well exceed the measurement gap period of 80ms. For example, the number of repetitions for eMTC PDSCH can be up to 2048ms. Thus, it is impossible to avoid the uplink and downlink data and transmissions falls into the measurement gaps when the number of repetitions for uplink and downlink transmission repetitions are more than 80ms.</w:t>
      </w:r>
    </w:p>
    <w:p w:rsidR="00B41402" w:rsidRPr="00FC0A59" w:rsidRDefault="002325E4" w:rsidP="009B73DD">
      <w:pPr>
        <w:pStyle w:val="ListParagraph"/>
        <w:numPr>
          <w:ilvl w:val="0"/>
          <w:numId w:val="43"/>
        </w:numPr>
      </w:pPr>
      <w:r>
        <w:t xml:space="preserve">Even if the number of repetitions of uplink and downlink control and data is smaller than the </w:t>
      </w:r>
      <w:r w:rsidR="00437AE8">
        <w:t>measurement</w:t>
      </w:r>
      <w:r>
        <w:t xml:space="preserve"> gap period, it is often times very difficult for the scheduler to schedule the uplink and downlink </w:t>
      </w:r>
      <w:r w:rsidR="00437AE8">
        <w:t>transmission</w:t>
      </w:r>
      <w:r>
        <w:t xml:space="preserve"> within a </w:t>
      </w:r>
      <w:r w:rsidR="00437AE8">
        <w:t>measurement</w:t>
      </w:r>
      <w:r>
        <w:t xml:space="preserve"> gap period to avoid the </w:t>
      </w:r>
      <w:r w:rsidR="00437AE8">
        <w:t>measurement</w:t>
      </w:r>
      <w:r>
        <w:t xml:space="preserve"> gaps. For example, for the measurement gap period of 80ms, there is only 74ms left available for scheduling. If we use a transmission repetition of 32ms for downlink and unlink transmission, we will need total 100ms to complete the transmission of one downlink package (32ms for MPDCCH, 32ms for PDSCH, 32ms for PUCCH for HARQ, and 4ms for the transmission gap between PDSCH and PUCCH), which already far exceeds the 74ms.</w:t>
      </w:r>
    </w:p>
    <w:p w:rsidR="00B41402" w:rsidRDefault="00B41402" w:rsidP="009B73DD">
      <w:pPr>
        <w:spacing w:after="0"/>
      </w:pPr>
    </w:p>
    <w:p w:rsidR="001410FB" w:rsidRDefault="00D26CE6" w:rsidP="00095DAD">
      <w:pPr>
        <w:rPr>
          <w:highlight w:val="yellow"/>
        </w:rPr>
      </w:pPr>
      <w:r w:rsidRPr="001410FB">
        <w:lastRenderedPageBreak/>
        <w:t xml:space="preserve">In the </w:t>
      </w:r>
      <w:r w:rsidR="001410FB" w:rsidRPr="001410FB">
        <w:t>following, we</w:t>
      </w:r>
      <w:r w:rsidR="001410FB">
        <w:t xml:space="preserve"> discuss possibility for an eMTC to perform intra-frequency and/or inter-frequency measurements without configuring</w:t>
      </w:r>
      <w:r w:rsidR="001410FB" w:rsidRPr="00A90F19">
        <w:t xml:space="preserve"> gap </w:t>
      </w:r>
      <w:r w:rsidR="001410FB">
        <w:t>by exploring MPDCCH configurations.</w:t>
      </w:r>
    </w:p>
    <w:p w:rsidR="00D26CE6" w:rsidRPr="00DD748A" w:rsidRDefault="00D26CE6" w:rsidP="009736E8">
      <w:r w:rsidRPr="00DD748A">
        <w:t>In eMTC, each new uplink and downlink data transmission starts from the MPDCCH transmission. The set of MPDCCH candidates to monitor are called MPDCCH search space</w:t>
      </w:r>
      <w:r w:rsidR="00091B10">
        <w:t>s. During connected state, eMTC</w:t>
      </w:r>
      <w:r w:rsidRPr="00DD748A">
        <w:t xml:space="preserve"> UE </w:t>
      </w:r>
      <w:r w:rsidR="00091B10">
        <w:t xml:space="preserve">will </w:t>
      </w:r>
      <w:r w:rsidR="001410FB" w:rsidRPr="00DD748A">
        <w:t>monitor MPDCCH</w:t>
      </w:r>
      <w:r w:rsidRPr="00DD748A">
        <w:t xml:space="preserve"> UE-specific search space and </w:t>
      </w:r>
      <w:r w:rsidR="00091B10">
        <w:t xml:space="preserve">also </w:t>
      </w:r>
      <w:r w:rsidRPr="00DD748A">
        <w:t>Type0-MPDCCH common search space if configured with CEmodeA.</w:t>
      </w:r>
    </w:p>
    <w:p w:rsidR="00D26CE6" w:rsidRPr="00DD748A" w:rsidRDefault="00D26CE6" w:rsidP="009736E8">
      <w:r w:rsidRPr="00DD748A">
        <w:t xml:space="preserve">For MPDCCH UE-specific search space and Type0-common search space locations of starting subframe </w:t>
      </w:r>
      <w:r w:rsidR="00091B10" w:rsidRPr="00091B10">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2pt" o:ole="">
            <v:imagedata r:id="rId8" o:title=""/>
          </v:shape>
          <o:OLEObject Type="Embed" ProgID="Equation.3" ShapeID="_x0000_i1025" DrawAspect="Content" ObjectID="_1539705423" r:id="rId9"/>
        </w:object>
      </w:r>
      <w:r w:rsidRPr="00DD748A">
        <w:t xml:space="preserve"> are given by </w:t>
      </w:r>
      <w:r w:rsidR="00091B10" w:rsidRPr="00091B10">
        <w:rPr>
          <w:position w:val="-10"/>
        </w:rPr>
        <w:object w:dxaOrig="560" w:dyaOrig="300">
          <v:shape id="_x0000_i1026" type="#_x0000_t75" style="width:27pt;height:14.25pt" o:ole="">
            <v:imagedata r:id="rId10" o:title=""/>
          </v:shape>
          <o:OLEObject Type="Embed" ProgID="Equation.3" ShapeID="_x0000_i1026" DrawAspect="Content" ObjectID="_1539705424" r:id="rId11"/>
        </w:object>
      </w:r>
      <w:r w:rsidRPr="00DD748A">
        <w:t xml:space="preserve">where </w:t>
      </w:r>
      <w:r w:rsidR="00091B10" w:rsidRPr="00091B10">
        <w:rPr>
          <w:position w:val="-10"/>
        </w:rPr>
        <w:object w:dxaOrig="260" w:dyaOrig="300">
          <v:shape id="_x0000_i1027" type="#_x0000_t75" style="width:12.75pt;height:14.25pt" o:ole="">
            <v:imagedata r:id="rId12" o:title=""/>
          </v:shape>
          <o:OLEObject Type="Embed" ProgID="Equation.3" ShapeID="_x0000_i1027" DrawAspect="Content" ObjectID="_1539705425" r:id="rId13"/>
        </w:object>
      </w:r>
      <w:r w:rsidRPr="00DD748A">
        <w:t xml:space="preserve">is the </w:t>
      </w:r>
      <w:r w:rsidR="00091B10" w:rsidRPr="00091B10">
        <w:rPr>
          <w:position w:val="-6"/>
        </w:rPr>
        <w:object w:dxaOrig="180" w:dyaOrig="260">
          <v:shape id="_x0000_i1028" type="#_x0000_t75" style="width:8.25pt;height:12pt" o:ole="">
            <v:imagedata r:id="rId14" o:title=""/>
          </v:shape>
          <o:OLEObject Type="Embed" ProgID="Equation.3" ShapeID="_x0000_i1028" DrawAspect="Content" ObjectID="_1539705426" r:id="rId15"/>
        </w:object>
      </w:r>
      <w:r w:rsidRPr="00DD748A">
        <w:rPr>
          <w:vertAlign w:val="superscript"/>
        </w:rPr>
        <w:t>th</w:t>
      </w:r>
      <w:r w:rsidRPr="00DD748A">
        <w:t xml:space="preserve"> consecutive </w:t>
      </w:r>
      <w:r w:rsidR="00091B10">
        <w:t>eMTC</w:t>
      </w:r>
      <w:r w:rsidRPr="00DD748A">
        <w:t xml:space="preserve"> subframe from subframe </w:t>
      </w:r>
      <w:r w:rsidR="00091B10" w:rsidRPr="00091B10">
        <w:rPr>
          <w:position w:val="-6"/>
        </w:rPr>
        <w:object w:dxaOrig="279" w:dyaOrig="260">
          <v:shape id="_x0000_i1029" type="#_x0000_t75" style="width:13.5pt;height:12pt" o:ole="">
            <v:imagedata r:id="rId16" o:title=""/>
          </v:shape>
          <o:OLEObject Type="Embed" ProgID="Equation.3" ShapeID="_x0000_i1029" DrawAspect="Content" ObjectID="_1539705427" r:id="rId17"/>
        </w:object>
      </w:r>
      <w:r w:rsidRPr="00DD748A">
        <w:t xml:space="preserve">, and </w:t>
      </w:r>
      <w:r w:rsidR="00091B10" w:rsidRPr="00091B10">
        <w:rPr>
          <w:position w:val="-10"/>
        </w:rPr>
        <w:object w:dxaOrig="720" w:dyaOrig="300">
          <v:shape id="_x0000_i1030" type="#_x0000_t75" style="width:34.5pt;height:14.25pt" o:ole="">
            <v:imagedata r:id="rId18" o:title=""/>
          </v:shape>
          <o:OLEObject Type="Embed" ProgID="Equation.3" ShapeID="_x0000_i1030" DrawAspect="Content" ObjectID="_1539705428" r:id="rId19"/>
        </w:object>
      </w:r>
      <w:r w:rsidRPr="00DD748A">
        <w:t xml:space="preserve">, and </w:t>
      </w:r>
      <w:r w:rsidR="00091B10" w:rsidRPr="00091B10">
        <w:rPr>
          <w:position w:val="-26"/>
        </w:rPr>
        <w:object w:dxaOrig="1500" w:dyaOrig="600">
          <v:shape id="_x0000_i1031" type="#_x0000_t75" style="width:72.75pt;height:28.5pt" o:ole="">
            <v:imagedata r:id="rId20" o:title=""/>
          </v:shape>
          <o:OLEObject Type="Embed" ProgID="Equation.3" ShapeID="_x0000_i1031" DrawAspect="Content" ObjectID="_1539705429" r:id="rId21"/>
        </w:object>
      </w:r>
      <w:r w:rsidRPr="00DD748A">
        <w:t xml:space="preserve">, and </w:t>
      </w:r>
      <w:r w:rsidR="00091B10" w:rsidRPr="00091B10">
        <w:rPr>
          <w:position w:val="-10"/>
        </w:rPr>
        <w:object w:dxaOrig="999" w:dyaOrig="300">
          <v:shape id="_x0000_i1032" type="#_x0000_t75" style="width:48pt;height:14.25pt" o:ole="">
            <v:imagedata r:id="rId22" o:title=""/>
          </v:shape>
          <o:OLEObject Type="Embed" ProgID="Equation.3" ShapeID="_x0000_i1032" DrawAspect="Content" ObjectID="_1539705430" r:id="rId23"/>
        </w:object>
      </w:r>
      <w:r w:rsidRPr="00DD748A">
        <w:t>, where</w:t>
      </w:r>
    </w:p>
    <w:p w:rsidR="00D26CE6" w:rsidRPr="0014231E" w:rsidRDefault="00D26CE6" w:rsidP="009736E8">
      <w:r w:rsidRPr="00DD748A">
        <w:t>-</w:t>
      </w:r>
      <w:r w:rsidRPr="00DD748A">
        <w:tab/>
        <w:t xml:space="preserve">subframe </w:t>
      </w:r>
      <w:r w:rsidR="00091B10" w:rsidRPr="00091B10">
        <w:rPr>
          <w:position w:val="-6"/>
        </w:rPr>
        <w:object w:dxaOrig="279" w:dyaOrig="260">
          <v:shape id="_x0000_i1033" type="#_x0000_t75" style="width:13.5pt;height:12pt" o:ole="">
            <v:imagedata r:id="rId24" o:title=""/>
          </v:shape>
          <o:OLEObject Type="Embed" ProgID="Equation.3" ShapeID="_x0000_i1033" DrawAspect="Content" ObjectID="_1539705431" r:id="rId25"/>
        </w:object>
      </w:r>
      <w:r w:rsidRPr="00DD748A">
        <w:t xml:space="preserve"> is a subframe satisfying the condition </w:t>
      </w:r>
      <w:r w:rsidR="00091B10" w:rsidRPr="00091B10">
        <w:rPr>
          <w:position w:val="-10"/>
        </w:rPr>
        <w:object w:dxaOrig="2100" w:dyaOrig="300">
          <v:shape id="_x0000_i1034" type="#_x0000_t75" style="width:98.25pt;height:14.25pt" o:ole="">
            <v:imagedata r:id="rId26" o:title=""/>
          </v:shape>
          <o:OLEObject Type="Embed" ProgID="Equation.3" ShapeID="_x0000_i1034" DrawAspect="Content" ObjectID="_1539705432" r:id="rId27"/>
        </w:object>
      </w:r>
      <w:r w:rsidRPr="00DD748A">
        <w:t xml:space="preserve">, where </w:t>
      </w:r>
      <w:r w:rsidR="0014231E">
        <w:rPr>
          <w:i/>
        </w:rPr>
        <w:t xml:space="preserve">T </w:t>
      </w:r>
      <w:r w:rsidR="0014231E" w:rsidRPr="0014231E">
        <w:t xml:space="preserve">is the MPDCCH </w:t>
      </w:r>
      <w:r w:rsidR="00F0771E" w:rsidRPr="0014231E">
        <w:t>period defined</w:t>
      </w:r>
      <w:r w:rsidR="0014231E" w:rsidRPr="0014231E">
        <w:t xml:space="preserve"> as </w:t>
      </w:r>
      <w:r w:rsidR="009B1DD1" w:rsidRPr="0014231E">
        <w:rPr>
          <w:position w:val="-10"/>
        </w:rPr>
        <w:object w:dxaOrig="1020" w:dyaOrig="300">
          <v:shape id="_x0000_i1035" type="#_x0000_t75" style="width:48.75pt;height:14.25pt" o:ole="">
            <v:imagedata r:id="rId28" o:title=""/>
          </v:shape>
          <o:OLEObject Type="Embed" ProgID="Equation.3" ShapeID="_x0000_i1035" DrawAspect="Content" ObjectID="_1539705433" r:id="rId29"/>
        </w:object>
      </w:r>
    </w:p>
    <w:p w:rsidR="00D26CE6" w:rsidRPr="00DD748A" w:rsidRDefault="00D26CE6" w:rsidP="009736E8">
      <w:r w:rsidRPr="00DD748A">
        <w:t>-</w:t>
      </w:r>
      <w:r w:rsidRPr="00DD748A">
        <w:tab/>
        <w:t xml:space="preserve">For MPDCCH UE-specific search space, Type0-common search space </w:t>
      </w:r>
      <w:r w:rsidR="00091B10" w:rsidRPr="00091B10">
        <w:rPr>
          <w:position w:val="-6"/>
        </w:rPr>
        <w:object w:dxaOrig="220" w:dyaOrig="240">
          <v:shape id="_x0000_i1036" type="#_x0000_t75" style="width:10.5pt;height:11.25pt" o:ole="">
            <v:imagedata r:id="rId30" o:title=""/>
          </v:shape>
          <o:OLEObject Type="Embed" ProgID="Equation.3" ShapeID="_x0000_i1036" DrawAspect="Content" ObjectID="_1539705434" r:id="rId31"/>
        </w:object>
      </w:r>
      <w:r w:rsidRPr="00DD748A">
        <w:t xml:space="preserve">is given by the parameter </w:t>
      </w:r>
      <w:r w:rsidRPr="00DD748A">
        <w:rPr>
          <w:i/>
        </w:rPr>
        <w:t xml:space="preserve">mPDCCH-startSF-UESS </w:t>
      </w:r>
      <w:r w:rsidRPr="00DD748A">
        <w:t>defined in TS 36.331 with the valid values of {1, 1.5, 2, 2.5, 4, 5, 8, 10} for LTE FDD systems, and {1, 2, 4, 5, 8, 10, 20} for LTE TDD systems [TS 36.331].</w:t>
      </w:r>
    </w:p>
    <w:p w:rsidR="00D26CE6" w:rsidRPr="00DD748A" w:rsidRDefault="00D26CE6" w:rsidP="009736E8">
      <w:r w:rsidRPr="00DD748A">
        <w:t>-</w:t>
      </w:r>
      <w:r w:rsidRPr="00DD748A">
        <w:tab/>
      </w:r>
      <w:r w:rsidR="00091B10" w:rsidRPr="00091B10">
        <w:rPr>
          <w:position w:val="-10"/>
        </w:rPr>
        <w:object w:dxaOrig="420" w:dyaOrig="300">
          <v:shape id="_x0000_i1037" type="#_x0000_t75" style="width:20.25pt;height:14.25pt" o:ole="">
            <v:imagedata r:id="rId32" o:title=""/>
          </v:shape>
          <o:OLEObject Type="Embed" ProgID="Equation.3" ShapeID="_x0000_i1037" DrawAspect="Content" ObjectID="_1539705435" r:id="rId33"/>
        </w:object>
      </w:r>
      <w:r w:rsidRPr="00DD748A">
        <w:t xml:space="preserve">is given by the parameter </w:t>
      </w:r>
      <w:r w:rsidRPr="00DD748A">
        <w:rPr>
          <w:i/>
        </w:rPr>
        <w:t>mPDCCH-NumRepetition</w:t>
      </w:r>
      <w:r w:rsidRPr="00DD748A">
        <w:t xml:space="preserve">, and defined in TS 36.331 with the valid values of  {1, </w:t>
      </w:r>
      <w:r w:rsidRPr="00DD748A">
        <w:rPr>
          <w:lang w:val="sv-SE"/>
        </w:rPr>
        <w:t>2, 4, 8, 16, 32, 64, 128, 256}.</w:t>
      </w:r>
    </w:p>
    <w:p w:rsidR="00D26CE6" w:rsidRPr="00DD748A" w:rsidRDefault="00D26CE6" w:rsidP="009736E8">
      <w:r w:rsidRPr="00DD748A">
        <w:t>-</w:t>
      </w:r>
      <w:r w:rsidRPr="00DD748A">
        <w:tab/>
        <w:t xml:space="preserve">repetition levels </w:t>
      </w:r>
      <m:oMath>
        <m:r>
          <w:rPr>
            <w:rFonts w:ascii="Cambria Math" w:hAnsi="Cambria Math"/>
          </w:rPr>
          <m:t>r1, r2, r3, r4</m:t>
        </m:r>
      </m:oMath>
      <w:r w:rsidRPr="00091B10">
        <w:t xml:space="preserve"> </w:t>
      </w:r>
      <w:r w:rsidRPr="00DD748A">
        <w:t xml:space="preserve">defining the MPDCCH search spaces are given in Table 9.1.5-3 in TS 36.213. </w:t>
      </w:r>
    </w:p>
    <w:p w:rsidR="00D26CE6" w:rsidRPr="000E43CB" w:rsidRDefault="00D26CE6" w:rsidP="00091B10">
      <w:pPr>
        <w:jc w:val="center"/>
        <w:rPr>
          <w:b/>
        </w:rPr>
      </w:pPr>
      <w:r w:rsidRPr="00DD748A">
        <w:rPr>
          <w:b/>
        </w:rPr>
        <w:t>Table 9.1.5-3: Determination of repetition levels (TS 36.213)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D26CE6" w:rsidRPr="000E43CB" w:rsidTr="00984E81">
        <w:trPr>
          <w:cantSplit/>
          <w:jc w:val="center"/>
        </w:trPr>
        <w:tc>
          <w:tcPr>
            <w:tcW w:w="950" w:type="dxa"/>
            <w:tcBorders>
              <w:bottom w:val="single" w:sz="4" w:space="0" w:color="auto"/>
            </w:tcBorders>
            <w:shd w:val="clear" w:color="auto" w:fill="E0E0E0"/>
            <w:vAlign w:val="center"/>
          </w:tcPr>
          <w:p w:rsidR="00D26CE6" w:rsidRPr="000E43CB" w:rsidRDefault="00D26CE6" w:rsidP="009736E8">
            <w:pPr>
              <w:rPr>
                <w:b/>
              </w:rPr>
            </w:pPr>
            <w:r w:rsidRPr="000E43CB">
              <w:rPr>
                <w:b/>
              </w:rPr>
              <w:object w:dxaOrig="400" w:dyaOrig="360">
                <v:shape id="_x0000_i1038" type="#_x0000_t75" style="width:19.5pt;height:16.5pt" o:ole="">
                  <v:imagedata r:id="rId34" o:title=""/>
                </v:shape>
                <o:OLEObject Type="Embed" ProgID="Equation.3" ShapeID="_x0000_i1038" DrawAspect="Content" ObjectID="_1539705436" r:id="rId35"/>
              </w:object>
            </w:r>
          </w:p>
        </w:tc>
        <w:tc>
          <w:tcPr>
            <w:tcW w:w="951" w:type="dxa"/>
            <w:tcBorders>
              <w:bottom w:val="single" w:sz="4" w:space="0" w:color="auto"/>
            </w:tcBorders>
            <w:shd w:val="clear" w:color="auto" w:fill="E0E0E0"/>
            <w:vAlign w:val="center"/>
          </w:tcPr>
          <w:p w:rsidR="00D26CE6" w:rsidRPr="000E43CB" w:rsidRDefault="00D26CE6" w:rsidP="009736E8">
            <w:pPr>
              <w:rPr>
                <w:b/>
              </w:rPr>
            </w:pPr>
            <w:r w:rsidRPr="000E43CB">
              <w:rPr>
                <w:b/>
              </w:rPr>
              <w:object w:dxaOrig="260" w:dyaOrig="260">
                <v:shape id="_x0000_i1039" type="#_x0000_t75" style="width:12.75pt;height:12.75pt" o:ole="">
                  <v:imagedata r:id="rId36" o:title=""/>
                </v:shape>
                <o:OLEObject Type="Embed" ProgID="Equation.3" ShapeID="_x0000_i1039" DrawAspect="Content" ObjectID="_1539705437" r:id="rId37"/>
              </w:object>
            </w:r>
          </w:p>
        </w:tc>
        <w:tc>
          <w:tcPr>
            <w:tcW w:w="951" w:type="dxa"/>
            <w:tcBorders>
              <w:bottom w:val="single" w:sz="4" w:space="0" w:color="auto"/>
            </w:tcBorders>
            <w:shd w:val="clear" w:color="auto" w:fill="E0E0E0"/>
            <w:vAlign w:val="center"/>
          </w:tcPr>
          <w:p w:rsidR="00D26CE6" w:rsidRPr="000E43CB" w:rsidRDefault="00D26CE6" w:rsidP="009736E8">
            <w:pPr>
              <w:rPr>
                <w:b/>
              </w:rPr>
            </w:pPr>
            <w:r w:rsidRPr="000E43CB">
              <w:rPr>
                <w:b/>
              </w:rPr>
              <w:object w:dxaOrig="300" w:dyaOrig="260">
                <v:shape id="_x0000_i1040" type="#_x0000_t75" style="width:15pt;height:12.75pt" o:ole="">
                  <v:imagedata r:id="rId38" o:title=""/>
                </v:shape>
                <o:OLEObject Type="Embed" ProgID="Equation.3" ShapeID="_x0000_i1040" DrawAspect="Content" ObjectID="_1539705438" r:id="rId39"/>
              </w:object>
            </w:r>
          </w:p>
        </w:tc>
        <w:tc>
          <w:tcPr>
            <w:tcW w:w="951" w:type="dxa"/>
            <w:tcBorders>
              <w:bottom w:val="single" w:sz="4" w:space="0" w:color="auto"/>
            </w:tcBorders>
            <w:shd w:val="clear" w:color="auto" w:fill="E0E0E0"/>
            <w:vAlign w:val="center"/>
          </w:tcPr>
          <w:p w:rsidR="00D26CE6" w:rsidRPr="000E43CB" w:rsidRDefault="00D26CE6" w:rsidP="009736E8">
            <w:pPr>
              <w:rPr>
                <w:b/>
              </w:rPr>
            </w:pPr>
            <w:r w:rsidRPr="000E43CB">
              <w:rPr>
                <w:b/>
              </w:rPr>
              <w:object w:dxaOrig="279" w:dyaOrig="279">
                <v:shape id="_x0000_i1041" type="#_x0000_t75" style="width:13.5pt;height:13.5pt" o:ole="">
                  <v:imagedata r:id="rId40" o:title=""/>
                </v:shape>
                <o:OLEObject Type="Embed" ProgID="Equation.3" ShapeID="_x0000_i1041" DrawAspect="Content" ObjectID="_1539705439" r:id="rId41"/>
              </w:object>
            </w:r>
          </w:p>
        </w:tc>
        <w:tc>
          <w:tcPr>
            <w:tcW w:w="951" w:type="dxa"/>
            <w:tcBorders>
              <w:bottom w:val="single" w:sz="4" w:space="0" w:color="auto"/>
            </w:tcBorders>
            <w:shd w:val="clear" w:color="auto" w:fill="E0E0E0"/>
            <w:vAlign w:val="center"/>
          </w:tcPr>
          <w:p w:rsidR="00D26CE6" w:rsidRPr="000E43CB" w:rsidRDefault="00D26CE6" w:rsidP="009736E8">
            <w:pPr>
              <w:rPr>
                <w:b/>
              </w:rPr>
            </w:pPr>
            <w:r w:rsidRPr="000E43CB">
              <w:rPr>
                <w:b/>
              </w:rPr>
              <w:object w:dxaOrig="300" w:dyaOrig="260">
                <v:shape id="_x0000_i1042" type="#_x0000_t75" style="width:15pt;height:12.75pt" o:ole="">
                  <v:imagedata r:id="rId42" o:title=""/>
                </v:shape>
                <o:OLEObject Type="Embed" ProgID="Equation.3" ShapeID="_x0000_i1042" DrawAspect="Content" ObjectID="_1539705440" r:id="rId43"/>
              </w:object>
            </w:r>
          </w:p>
        </w:tc>
      </w:tr>
      <w:tr w:rsidR="00D26CE6" w:rsidRPr="000E43CB" w:rsidTr="00984E81">
        <w:trPr>
          <w:cantSplit/>
          <w:jc w:val="center"/>
        </w:trPr>
        <w:tc>
          <w:tcPr>
            <w:tcW w:w="950" w:type="dxa"/>
            <w:shd w:val="clear" w:color="auto" w:fill="auto"/>
            <w:vAlign w:val="center"/>
          </w:tcPr>
          <w:p w:rsidR="00D26CE6" w:rsidRPr="000E43CB" w:rsidRDefault="00D26CE6" w:rsidP="009736E8">
            <w:r w:rsidRPr="000E43CB">
              <w:t>1</w:t>
            </w:r>
          </w:p>
        </w:tc>
        <w:tc>
          <w:tcPr>
            <w:tcW w:w="951" w:type="dxa"/>
            <w:shd w:val="clear" w:color="auto" w:fill="auto"/>
            <w:vAlign w:val="center"/>
          </w:tcPr>
          <w:p w:rsidR="00D26CE6" w:rsidRPr="000E43CB" w:rsidRDefault="00D26CE6" w:rsidP="009736E8">
            <w:r w:rsidRPr="000E43CB">
              <w:t>1</w:t>
            </w:r>
          </w:p>
        </w:tc>
        <w:tc>
          <w:tcPr>
            <w:tcW w:w="951" w:type="dxa"/>
            <w:vAlign w:val="center"/>
          </w:tcPr>
          <w:p w:rsidR="00D26CE6" w:rsidRPr="000E43CB" w:rsidRDefault="00D26CE6" w:rsidP="009736E8">
            <w:r w:rsidRPr="000E43CB">
              <w:t>-</w:t>
            </w:r>
          </w:p>
        </w:tc>
        <w:tc>
          <w:tcPr>
            <w:tcW w:w="951" w:type="dxa"/>
            <w:vAlign w:val="center"/>
          </w:tcPr>
          <w:p w:rsidR="00D26CE6" w:rsidRPr="000E43CB" w:rsidRDefault="00D26CE6" w:rsidP="009736E8">
            <w:r w:rsidRPr="000E43CB">
              <w:t>-</w:t>
            </w:r>
          </w:p>
        </w:tc>
        <w:tc>
          <w:tcPr>
            <w:tcW w:w="951" w:type="dxa"/>
            <w:vAlign w:val="center"/>
          </w:tcPr>
          <w:p w:rsidR="00D26CE6" w:rsidRPr="000E43CB" w:rsidRDefault="00D26CE6" w:rsidP="009736E8">
            <w:r w:rsidRPr="000E43CB">
              <w:t>-</w:t>
            </w:r>
          </w:p>
        </w:tc>
      </w:tr>
      <w:tr w:rsidR="00D26CE6" w:rsidRPr="000E43CB" w:rsidTr="00984E81">
        <w:trPr>
          <w:cantSplit/>
          <w:jc w:val="center"/>
        </w:trPr>
        <w:tc>
          <w:tcPr>
            <w:tcW w:w="950" w:type="dxa"/>
            <w:shd w:val="clear" w:color="auto" w:fill="auto"/>
            <w:vAlign w:val="center"/>
          </w:tcPr>
          <w:p w:rsidR="00D26CE6" w:rsidRPr="000E43CB" w:rsidRDefault="00D26CE6" w:rsidP="009736E8">
            <w:r w:rsidRPr="000E43CB">
              <w:t>2</w:t>
            </w:r>
          </w:p>
        </w:tc>
        <w:tc>
          <w:tcPr>
            <w:tcW w:w="951" w:type="dxa"/>
            <w:shd w:val="clear" w:color="auto" w:fill="auto"/>
            <w:vAlign w:val="center"/>
          </w:tcPr>
          <w:p w:rsidR="00D26CE6" w:rsidRPr="000E43CB" w:rsidRDefault="00D26CE6" w:rsidP="009736E8">
            <w:r w:rsidRPr="000E43CB">
              <w:t>1</w:t>
            </w:r>
          </w:p>
        </w:tc>
        <w:tc>
          <w:tcPr>
            <w:tcW w:w="951" w:type="dxa"/>
            <w:vAlign w:val="center"/>
          </w:tcPr>
          <w:p w:rsidR="00D26CE6" w:rsidRPr="000E43CB" w:rsidRDefault="00D26CE6" w:rsidP="009736E8">
            <w:r w:rsidRPr="000E43CB">
              <w:t>2</w:t>
            </w:r>
          </w:p>
        </w:tc>
        <w:tc>
          <w:tcPr>
            <w:tcW w:w="951" w:type="dxa"/>
            <w:vAlign w:val="center"/>
          </w:tcPr>
          <w:p w:rsidR="00D26CE6" w:rsidRPr="000E43CB" w:rsidRDefault="00D26CE6" w:rsidP="009736E8">
            <w:r w:rsidRPr="000E43CB">
              <w:t>-</w:t>
            </w:r>
          </w:p>
        </w:tc>
        <w:tc>
          <w:tcPr>
            <w:tcW w:w="951" w:type="dxa"/>
            <w:vAlign w:val="center"/>
          </w:tcPr>
          <w:p w:rsidR="00D26CE6" w:rsidRPr="000E43CB" w:rsidRDefault="00D26CE6" w:rsidP="009736E8">
            <w:r w:rsidRPr="000E43CB">
              <w:t>-</w:t>
            </w:r>
          </w:p>
        </w:tc>
      </w:tr>
      <w:tr w:rsidR="00D26CE6" w:rsidRPr="000E43CB" w:rsidTr="00984E81">
        <w:trPr>
          <w:cantSplit/>
          <w:jc w:val="center"/>
        </w:trPr>
        <w:tc>
          <w:tcPr>
            <w:tcW w:w="950" w:type="dxa"/>
            <w:shd w:val="clear" w:color="auto" w:fill="auto"/>
            <w:vAlign w:val="center"/>
          </w:tcPr>
          <w:p w:rsidR="00D26CE6" w:rsidRPr="000E43CB" w:rsidRDefault="00D26CE6" w:rsidP="009736E8">
            <w:r w:rsidRPr="000E43CB">
              <w:t>4</w:t>
            </w:r>
          </w:p>
        </w:tc>
        <w:tc>
          <w:tcPr>
            <w:tcW w:w="951" w:type="dxa"/>
            <w:shd w:val="clear" w:color="auto" w:fill="auto"/>
            <w:vAlign w:val="center"/>
          </w:tcPr>
          <w:p w:rsidR="00D26CE6" w:rsidRPr="000E43CB" w:rsidRDefault="00D26CE6" w:rsidP="009736E8">
            <w:r w:rsidRPr="000E43CB">
              <w:t>1</w:t>
            </w:r>
          </w:p>
        </w:tc>
        <w:tc>
          <w:tcPr>
            <w:tcW w:w="951" w:type="dxa"/>
            <w:vAlign w:val="center"/>
          </w:tcPr>
          <w:p w:rsidR="00D26CE6" w:rsidRPr="000E43CB" w:rsidRDefault="00D26CE6" w:rsidP="009736E8">
            <w:r w:rsidRPr="000E43CB">
              <w:t>2</w:t>
            </w:r>
          </w:p>
        </w:tc>
        <w:tc>
          <w:tcPr>
            <w:tcW w:w="951" w:type="dxa"/>
            <w:vAlign w:val="center"/>
          </w:tcPr>
          <w:p w:rsidR="00D26CE6" w:rsidRPr="000E43CB" w:rsidRDefault="00D26CE6" w:rsidP="009736E8">
            <w:r w:rsidRPr="000E43CB">
              <w:t>4</w:t>
            </w:r>
          </w:p>
        </w:tc>
        <w:tc>
          <w:tcPr>
            <w:tcW w:w="951" w:type="dxa"/>
            <w:vAlign w:val="center"/>
          </w:tcPr>
          <w:p w:rsidR="00D26CE6" w:rsidRPr="000E43CB" w:rsidRDefault="00D26CE6" w:rsidP="009736E8">
            <w:r w:rsidRPr="000E43CB">
              <w:t>-</w:t>
            </w:r>
          </w:p>
        </w:tc>
      </w:tr>
      <w:tr w:rsidR="00D26CE6" w:rsidRPr="000E43CB" w:rsidTr="00984E81">
        <w:trPr>
          <w:cantSplit/>
          <w:jc w:val="center"/>
        </w:trPr>
        <w:tc>
          <w:tcPr>
            <w:tcW w:w="950" w:type="dxa"/>
            <w:shd w:val="clear" w:color="auto" w:fill="auto"/>
            <w:vAlign w:val="center"/>
          </w:tcPr>
          <w:p w:rsidR="00D26CE6" w:rsidRPr="000E43CB" w:rsidRDefault="00D26CE6" w:rsidP="009736E8">
            <w:r w:rsidRPr="000E43CB">
              <w:t>&gt;=8</w:t>
            </w:r>
          </w:p>
        </w:tc>
        <w:tc>
          <w:tcPr>
            <w:tcW w:w="951" w:type="dxa"/>
            <w:shd w:val="clear" w:color="auto" w:fill="auto"/>
            <w:vAlign w:val="center"/>
          </w:tcPr>
          <w:p w:rsidR="00D26CE6" w:rsidRPr="000E43CB" w:rsidRDefault="00D26CE6" w:rsidP="009736E8">
            <w:r w:rsidRPr="000E43CB">
              <w:object w:dxaOrig="680" w:dyaOrig="360">
                <v:shape id="_x0000_i1043" type="#_x0000_t75" style="width:33pt;height:16.5pt" o:ole="">
                  <v:imagedata r:id="rId44" o:title=""/>
                </v:shape>
                <o:OLEObject Type="Embed" ProgID="Equation.3" ShapeID="_x0000_i1043" DrawAspect="Content" ObjectID="_1539705441" r:id="rId45"/>
              </w:object>
            </w:r>
          </w:p>
        </w:tc>
        <w:tc>
          <w:tcPr>
            <w:tcW w:w="951" w:type="dxa"/>
            <w:vAlign w:val="center"/>
          </w:tcPr>
          <w:p w:rsidR="00D26CE6" w:rsidRPr="000E43CB" w:rsidRDefault="00D26CE6" w:rsidP="009736E8">
            <w:r w:rsidRPr="000E43CB">
              <w:object w:dxaOrig="680" w:dyaOrig="360">
                <v:shape id="_x0000_i1044" type="#_x0000_t75" style="width:33pt;height:16.5pt" o:ole="">
                  <v:imagedata r:id="rId46" o:title=""/>
                </v:shape>
                <o:OLEObject Type="Embed" ProgID="Equation.3" ShapeID="_x0000_i1044" DrawAspect="Content" ObjectID="_1539705442" r:id="rId47"/>
              </w:object>
            </w:r>
          </w:p>
        </w:tc>
        <w:tc>
          <w:tcPr>
            <w:tcW w:w="951" w:type="dxa"/>
            <w:vAlign w:val="center"/>
          </w:tcPr>
          <w:p w:rsidR="00D26CE6" w:rsidRPr="000E43CB" w:rsidRDefault="00D26CE6" w:rsidP="009736E8">
            <w:r w:rsidRPr="000E43CB">
              <w:object w:dxaOrig="680" w:dyaOrig="360">
                <v:shape id="_x0000_i1045" type="#_x0000_t75" style="width:33pt;height:16.5pt" o:ole="">
                  <v:imagedata r:id="rId48" o:title=""/>
                </v:shape>
                <o:OLEObject Type="Embed" ProgID="Equation.3" ShapeID="_x0000_i1045" DrawAspect="Content" ObjectID="_1539705443" r:id="rId49"/>
              </w:object>
            </w:r>
          </w:p>
        </w:tc>
        <w:tc>
          <w:tcPr>
            <w:tcW w:w="951" w:type="dxa"/>
            <w:vAlign w:val="center"/>
          </w:tcPr>
          <w:p w:rsidR="00D26CE6" w:rsidRPr="000E43CB" w:rsidRDefault="00D26CE6" w:rsidP="009736E8">
            <w:r w:rsidRPr="000E43CB">
              <w:object w:dxaOrig="400" w:dyaOrig="360">
                <v:shape id="_x0000_i1046" type="#_x0000_t75" style="width:19.5pt;height:16.5pt" o:ole="">
                  <v:imagedata r:id="rId34" o:title=""/>
                </v:shape>
                <o:OLEObject Type="Embed" ProgID="Equation.3" ShapeID="_x0000_i1046" DrawAspect="Content" ObjectID="_1539705444" r:id="rId50"/>
              </w:object>
            </w:r>
          </w:p>
        </w:tc>
      </w:tr>
    </w:tbl>
    <w:p w:rsidR="00D26CE6" w:rsidRDefault="00D26CE6" w:rsidP="009736E8"/>
    <w:p w:rsidR="001410FB" w:rsidRPr="000E43CB" w:rsidRDefault="001410FB" w:rsidP="009736E8">
      <w:r w:rsidRPr="00DD748A">
        <w:t xml:space="preserve">As shown in Figure 1, for every </w:t>
      </w:r>
      <w:r w:rsidRPr="009B1DD1">
        <w:rPr>
          <w:position w:val="-10"/>
        </w:rPr>
        <w:object w:dxaOrig="1020" w:dyaOrig="300">
          <v:shape id="_x0000_i1047" type="#_x0000_t75" style="width:48.75pt;height:14.25pt" o:ole="">
            <v:imagedata r:id="rId51" o:title=""/>
          </v:shape>
          <o:OLEObject Type="Embed" ProgID="Equation.3" ShapeID="_x0000_i1047" DrawAspect="Content" ObjectID="_1539705445" r:id="rId52"/>
        </w:object>
      </w:r>
      <w:r w:rsidRPr="00DD748A">
        <w:t xml:space="preserve"> subframes, there will be </w:t>
      </w:r>
      <w:r w:rsidRPr="009B1DD1">
        <w:rPr>
          <w:position w:val="-10"/>
        </w:rPr>
        <w:object w:dxaOrig="980" w:dyaOrig="300">
          <v:shape id="_x0000_i1048" type="#_x0000_t75" style="width:47.25pt;height:14.25pt" o:ole="">
            <v:imagedata r:id="rId53" o:title=""/>
          </v:shape>
          <o:OLEObject Type="Embed" ProgID="Equation.3" ShapeID="_x0000_i1048" DrawAspect="Content" ObjectID="_1539705446" r:id="rId54"/>
        </w:object>
      </w:r>
      <w:r w:rsidRPr="00DD748A">
        <w:t xml:space="preserve"> subframes, for which the UE is not required to monitor MPDCCH since there is no MPDCCH transmission</w:t>
      </w:r>
      <w:r>
        <w:t xml:space="preserve"> (In Figure 1, we assume all </w:t>
      </w:r>
      <w:r w:rsidRPr="00236A68">
        <w:rPr>
          <w:position w:val="-10"/>
        </w:rPr>
        <w:object w:dxaOrig="420" w:dyaOrig="300">
          <v:shape id="_x0000_i1049" type="#_x0000_t75" style="width:21pt;height:15pt" o:ole="">
            <v:imagedata r:id="rId55" o:title=""/>
          </v:shape>
          <o:OLEObject Type="Embed" ProgID="Equation.3" ShapeID="_x0000_i1049" DrawAspect="Content" ObjectID="_1539705447" r:id="rId56"/>
        </w:object>
      </w:r>
      <w:r>
        <w:t xml:space="preserve">subframes after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oMath>
      <w:r>
        <w:t xml:space="preserve">are valid subframes). </w:t>
      </w:r>
    </w:p>
    <w:p w:rsidR="00D26CE6" w:rsidRPr="000E43CB" w:rsidRDefault="009B1DD1" w:rsidP="009736E8">
      <w:r>
        <w:rPr>
          <w:noProof/>
          <w:lang w:val="en-US" w:eastAsia="zh-CN"/>
        </w:rPr>
        <w:drawing>
          <wp:inline distT="0" distB="0" distL="0" distR="0" wp14:anchorId="187B2E14">
            <wp:extent cx="6404642" cy="2577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423616" cy="2585337"/>
                    </a:xfrm>
                    <a:prstGeom prst="rect">
                      <a:avLst/>
                    </a:prstGeom>
                    <a:noFill/>
                  </pic:spPr>
                </pic:pic>
              </a:graphicData>
            </a:graphic>
          </wp:inline>
        </w:drawing>
      </w:r>
    </w:p>
    <w:p w:rsidR="00D26CE6" w:rsidRPr="000E43CB" w:rsidRDefault="00041953" w:rsidP="009736E8">
      <w:pPr>
        <w:rPr>
          <w:b/>
        </w:rPr>
      </w:pPr>
      <w:r>
        <w:rPr>
          <w:b/>
        </w:rPr>
        <w:t>Figure 1. Measurement gap(s) can be</w:t>
      </w:r>
      <w:r w:rsidR="00D26CE6" w:rsidRPr="000E43CB">
        <w:rPr>
          <w:b/>
        </w:rPr>
        <w:t xml:space="preserve"> inserted after </w:t>
      </w:r>
      <w:r>
        <w:rPr>
          <w:b/>
        </w:rPr>
        <w:t>MPDCCH search space</w:t>
      </w:r>
    </w:p>
    <w:p w:rsidR="00D26CE6" w:rsidRPr="00A95484" w:rsidRDefault="00D26CE6" w:rsidP="009736E8">
      <w:r w:rsidRPr="00DD748A">
        <w:lastRenderedPageBreak/>
        <w:t>The</w:t>
      </w:r>
      <w:r w:rsidR="001410FB">
        <w:t>re are two main</w:t>
      </w:r>
      <w:r w:rsidRPr="00DD748A">
        <w:t xml:space="preserve"> reason</w:t>
      </w:r>
      <w:r w:rsidR="001410FB">
        <w:t>s</w:t>
      </w:r>
      <w:r w:rsidRPr="00DD748A">
        <w:t xml:space="preserve"> that the 3GPP standard defines </w:t>
      </w:r>
      <w:r w:rsidR="001410FB">
        <w:t xml:space="preserve">the MPDCCH period as </w:t>
      </w:r>
      <w:r w:rsidR="001410FB" w:rsidRPr="009B1DD1">
        <w:rPr>
          <w:position w:val="-10"/>
        </w:rPr>
        <w:object w:dxaOrig="1020" w:dyaOrig="300">
          <v:shape id="_x0000_i1050" type="#_x0000_t75" style="width:48.75pt;height:14.25pt" o:ole="">
            <v:imagedata r:id="rId51" o:title=""/>
          </v:shape>
          <o:OLEObject Type="Embed" ProgID="Equation.3" ShapeID="_x0000_i1050" DrawAspect="Content" ObjectID="_1539705448" r:id="rId58"/>
        </w:object>
      </w:r>
      <w:r w:rsidR="001410FB" w:rsidRPr="00DD748A">
        <w:t xml:space="preserve"> subframes, </w:t>
      </w:r>
      <w:r w:rsidR="001410FB">
        <w:t xml:space="preserve">although the total subframes for the MPDCCh search space is only </w:t>
      </w:r>
      <w:r w:rsidR="001410FB" w:rsidRPr="009B1DD1">
        <w:rPr>
          <w:position w:val="-10"/>
        </w:rPr>
        <w:object w:dxaOrig="420" w:dyaOrig="300">
          <v:shape id="_x0000_i1051" type="#_x0000_t75" style="width:20.25pt;height:14.25pt" o:ole="">
            <v:imagedata r:id="rId59" o:title=""/>
          </v:shape>
          <o:OLEObject Type="Embed" ProgID="Equation.3" ShapeID="_x0000_i1051" DrawAspect="Content" ObjectID="_1539705449" r:id="rId60"/>
        </w:object>
      </w:r>
      <w:r w:rsidR="001410FB" w:rsidRPr="00DD748A">
        <w:t>subframes</w:t>
      </w:r>
      <w:r w:rsidR="001410FB">
        <w:t xml:space="preserve">, which leave up to </w:t>
      </w:r>
      <w:r w:rsidR="001410FB" w:rsidRPr="009B1DD1">
        <w:rPr>
          <w:position w:val="-10"/>
        </w:rPr>
        <w:object w:dxaOrig="980" w:dyaOrig="300">
          <v:shape id="_x0000_i1052" type="#_x0000_t75" style="width:47.25pt;height:14.25pt" o:ole="">
            <v:imagedata r:id="rId53" o:title=""/>
          </v:shape>
          <o:OLEObject Type="Embed" ProgID="Equation.3" ShapeID="_x0000_i1052" DrawAspect="Content" ObjectID="_1539705450" r:id="rId61"/>
        </w:object>
      </w:r>
      <w:r w:rsidR="001410FB">
        <w:t xml:space="preserve"> subframes unused. First, it provides the opportunity for the UE to turn off its transceiver for power saving in those unused subframes, and it </w:t>
      </w:r>
      <w:r w:rsidR="009B1DD1">
        <w:t xml:space="preserve">also </w:t>
      </w:r>
      <w:r w:rsidRPr="00DD748A">
        <w:t>avoid</w:t>
      </w:r>
      <w:r w:rsidR="001410FB">
        <w:t>s</w:t>
      </w:r>
      <w:r w:rsidRPr="00DD748A">
        <w:t xml:space="preserve"> the overlapping of M-PDCCH Search Spaces with the previously transmission repetitio</w:t>
      </w:r>
      <w:r w:rsidR="00A95484">
        <w:t xml:space="preserve">ns due to the invalid downlink subframes (Note: The </w:t>
      </w:r>
      <w:r w:rsidR="00A95484">
        <w:rPr>
          <w:lang w:eastAsia="en-GB"/>
        </w:rPr>
        <w:t xml:space="preserve">bitmap indicates that which subframes are valid/invalid for downlink transmission is defined by parameter </w:t>
      </w:r>
      <w:r w:rsidR="00A95484">
        <w:rPr>
          <w:i/>
        </w:rPr>
        <w:t>DL-Bitmap</w:t>
      </w:r>
      <w:r w:rsidR="00A95484" w:rsidRPr="004E13BC">
        <w:rPr>
          <w:i/>
          <w:noProof/>
          <w:lang w:val="en-US"/>
        </w:rPr>
        <w:t>-NB</w:t>
      </w:r>
      <w:r w:rsidR="00A95484">
        <w:rPr>
          <w:i/>
          <w:noProof/>
          <w:lang w:val="en-US"/>
        </w:rPr>
        <w:t xml:space="preserve"> </w:t>
      </w:r>
      <w:r w:rsidR="00A95484">
        <w:rPr>
          <w:noProof/>
          <w:lang w:val="en-US"/>
        </w:rPr>
        <w:t>as defined in TS 36.331)</w:t>
      </w:r>
    </w:p>
    <w:p w:rsidR="00960B63" w:rsidRDefault="00D26CE6" w:rsidP="009736E8">
      <w:r w:rsidRPr="00DD748A">
        <w:t xml:space="preserve">In general, there will be only a small portion of the </w:t>
      </w:r>
      <w:r w:rsidR="009B1DD1" w:rsidRPr="009B1DD1">
        <w:rPr>
          <w:position w:val="-10"/>
        </w:rPr>
        <w:object w:dxaOrig="980" w:dyaOrig="300">
          <v:shape id="_x0000_i1053" type="#_x0000_t75" style="width:47.25pt;height:14.25pt" o:ole="">
            <v:imagedata r:id="rId62" o:title=""/>
          </v:shape>
          <o:OLEObject Type="Embed" ProgID="Equation.3" ShapeID="_x0000_i1053" DrawAspect="Content" ObjectID="_1539705451" r:id="rId63"/>
        </w:object>
      </w:r>
      <w:r w:rsidRPr="00DD748A">
        <w:t xml:space="preserve"> subframes </w:t>
      </w:r>
      <w:r w:rsidR="001410FB">
        <w:t xml:space="preserve">(marked as”A” in Figure 2) </w:t>
      </w:r>
      <w:r w:rsidRPr="00DD748A">
        <w:t>occupied by previous transmission repetitions due to the postponed transmission</w:t>
      </w:r>
      <w:r w:rsidR="009B1DD1">
        <w:t xml:space="preserve"> caused by invalid subframes</w:t>
      </w:r>
      <w:r w:rsidR="001410FB">
        <w:t>. T</w:t>
      </w:r>
      <w:r w:rsidRPr="00DD748A">
        <w:t>hus</w:t>
      </w:r>
      <w:r w:rsidR="001410FB">
        <w:t>, the rest of the</w:t>
      </w:r>
      <w:r w:rsidR="00960B63">
        <w:t xml:space="preserve"> </w:t>
      </w:r>
      <w:r w:rsidR="00960B63" w:rsidRPr="009B1DD1">
        <w:rPr>
          <w:position w:val="-10"/>
        </w:rPr>
        <w:object w:dxaOrig="980" w:dyaOrig="300">
          <v:shape id="_x0000_i1054" type="#_x0000_t75" style="width:47.25pt;height:14.25pt" o:ole="">
            <v:imagedata r:id="rId64" o:title=""/>
          </v:shape>
          <o:OLEObject Type="Embed" ProgID="Equation.3" ShapeID="_x0000_i1054" DrawAspect="Content" ObjectID="_1539705452" r:id="rId65"/>
        </w:object>
      </w:r>
      <w:r w:rsidR="00960B63">
        <w:t xml:space="preserve"> subframes </w:t>
      </w:r>
      <w:r w:rsidR="001410FB">
        <w:t xml:space="preserve">(marked as “B”) </w:t>
      </w:r>
      <w:r w:rsidR="00960B63">
        <w:t>are available for intra- and inter-frequency measurements, as shown in Figure 2.</w:t>
      </w:r>
    </w:p>
    <w:p w:rsidR="00F312ED" w:rsidRDefault="005D23BC" w:rsidP="009736E8">
      <w:r>
        <w:rPr>
          <w:noProof/>
          <w:lang w:val="en-US" w:eastAsia="zh-CN"/>
        </w:rPr>
        <w:drawing>
          <wp:inline distT="0" distB="0" distL="0" distR="0" wp14:anchorId="7320026D">
            <wp:extent cx="6179919" cy="184687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193276" cy="1850864"/>
                    </a:xfrm>
                    <a:prstGeom prst="rect">
                      <a:avLst/>
                    </a:prstGeom>
                    <a:noFill/>
                  </pic:spPr>
                </pic:pic>
              </a:graphicData>
            </a:graphic>
          </wp:inline>
        </w:drawing>
      </w:r>
    </w:p>
    <w:p w:rsidR="00F312ED" w:rsidRPr="000E43CB" w:rsidRDefault="00F312ED" w:rsidP="00F312ED">
      <w:pPr>
        <w:rPr>
          <w:b/>
        </w:rPr>
      </w:pPr>
      <w:r>
        <w:rPr>
          <w:b/>
        </w:rPr>
        <w:t>Figure 2. Measurement gap(s) can be</w:t>
      </w:r>
      <w:r w:rsidRPr="000E43CB">
        <w:rPr>
          <w:b/>
        </w:rPr>
        <w:t xml:space="preserve"> inserted after </w:t>
      </w:r>
      <w:r>
        <w:rPr>
          <w:b/>
        </w:rPr>
        <w:t>MPDCCH search space</w:t>
      </w:r>
    </w:p>
    <w:p w:rsidR="00D26CE6" w:rsidRDefault="001410FB" w:rsidP="009736E8">
      <w:r>
        <w:t xml:space="preserve">In general, </w:t>
      </w:r>
      <w:r w:rsidR="00D26CE6" w:rsidRPr="00DD748A">
        <w:t xml:space="preserve">the majority of the </w:t>
      </w:r>
      <w:r w:rsidR="009B1DD1" w:rsidRPr="009B1DD1">
        <w:rPr>
          <w:position w:val="-10"/>
        </w:rPr>
        <w:object w:dxaOrig="980" w:dyaOrig="300">
          <v:shape id="_x0000_i1055" type="#_x0000_t75" style="width:47.25pt;height:14.25pt" o:ole="">
            <v:imagedata r:id="rId64" o:title=""/>
          </v:shape>
          <o:OLEObject Type="Embed" ProgID="Equation.3" ShapeID="_x0000_i1055" DrawAspect="Content" ObjectID="_1539705453" r:id="rId67"/>
        </w:object>
      </w:r>
      <w:r w:rsidR="00D26CE6" w:rsidRPr="00DD748A">
        <w:t xml:space="preserve"> are not used for any transmissions</w:t>
      </w:r>
      <w:r>
        <w:t xml:space="preserve"> </w:t>
      </w:r>
      <w:r w:rsidR="00EC6F05">
        <w:t xml:space="preserve">when </w:t>
      </w:r>
      <w:r w:rsidR="00EC6F05">
        <w:rPr>
          <w:i/>
        </w:rPr>
        <w:t xml:space="preserve">G </w:t>
      </w:r>
      <w:r w:rsidR="00EC6F05">
        <w:t>is configured larger than 1</w:t>
      </w:r>
      <w:r w:rsidR="00D26CE6" w:rsidRPr="00DD748A">
        <w:t xml:space="preserve">, and can be used for the purpose of intra-frequency and inter-frequency cell measurements. In addition, both UE and BS knows how many of the subframes left in the </w:t>
      </w:r>
      <w:r w:rsidR="009B1DD1" w:rsidRPr="009B1DD1">
        <w:rPr>
          <w:position w:val="-10"/>
        </w:rPr>
        <w:object w:dxaOrig="980" w:dyaOrig="300">
          <v:shape id="_x0000_i1056" type="#_x0000_t75" style="width:47.25pt;height:14.25pt" o:ole="">
            <v:imagedata r:id="rId68" o:title=""/>
          </v:shape>
          <o:OLEObject Type="Embed" ProgID="Equation.3" ShapeID="_x0000_i1056" DrawAspect="Content" ObjectID="_1539705454" r:id="rId69"/>
        </w:object>
      </w:r>
      <w:r w:rsidR="00D26CE6" w:rsidRPr="00DD748A">
        <w:t xml:space="preserve"> that can be used for intra-frequency and inter-frequency cell measurements, since both the UE and BS knows how many invalid subframes are in previous transmission.</w:t>
      </w:r>
    </w:p>
    <w:p w:rsidR="00EF5070" w:rsidRDefault="00437850" w:rsidP="00EF5070">
      <w:pPr>
        <w:rPr>
          <w:rFonts w:cs="Arial"/>
        </w:rPr>
      </w:pPr>
      <w:r>
        <w:rPr>
          <w:rFonts w:cs="Arial"/>
        </w:rPr>
        <w:t>Therefore, when</w:t>
      </w:r>
      <w:r w:rsidR="00D26CE6" w:rsidRPr="00DD748A">
        <w:rPr>
          <w:rFonts w:cs="Arial"/>
        </w:rPr>
        <w:t xml:space="preserve"> </w:t>
      </w:r>
      <w:r>
        <w:rPr>
          <w:rFonts w:cs="Arial"/>
          <w:i/>
        </w:rPr>
        <w:t xml:space="preserve">G </w:t>
      </w:r>
      <w:r>
        <w:rPr>
          <w:rFonts w:cs="Arial"/>
        </w:rPr>
        <w:t>is configure</w:t>
      </w:r>
      <w:r w:rsidR="00A95484">
        <w:rPr>
          <w:rFonts w:cs="Arial"/>
        </w:rPr>
        <w:t>d</w:t>
      </w:r>
      <w:r>
        <w:rPr>
          <w:rFonts w:cs="Arial"/>
        </w:rPr>
        <w:t xml:space="preserve"> larger than 1</w:t>
      </w:r>
      <w:r w:rsidR="00D26CE6" w:rsidRPr="00DD748A">
        <w:rPr>
          <w:rFonts w:cs="Arial"/>
        </w:rPr>
        <w:t xml:space="preserve"> by the parameter </w:t>
      </w:r>
      <w:r>
        <w:rPr>
          <w:rFonts w:cs="Arial"/>
          <w:i/>
        </w:rPr>
        <w:t xml:space="preserve">mPDCCH-startSF-UESS, </w:t>
      </w:r>
      <w:r>
        <w:rPr>
          <w:rFonts w:cs="Arial"/>
        </w:rPr>
        <w:t xml:space="preserve">both </w:t>
      </w:r>
      <w:r w:rsidRPr="00DD748A">
        <w:t xml:space="preserve">the UE and BS knows how many subframes are </w:t>
      </w:r>
      <w:r>
        <w:t xml:space="preserve">available for the UE to perform the </w:t>
      </w:r>
      <w:r w:rsidR="00D26CE6" w:rsidRPr="00DD748A">
        <w:rPr>
          <w:rFonts w:cs="Arial"/>
        </w:rPr>
        <w:t>perform the intra- and inter-frequency measurements</w:t>
      </w:r>
      <w:r w:rsidR="00A95484">
        <w:rPr>
          <w:rFonts w:cs="Arial"/>
        </w:rPr>
        <w:t xml:space="preserve">. </w:t>
      </w:r>
      <w:r w:rsidR="00EF5070" w:rsidRPr="00DD748A">
        <w:rPr>
          <w:rFonts w:cs="Arial"/>
        </w:rPr>
        <w:t xml:space="preserve">If the number of available subframes in </w:t>
      </w:r>
      <w:r w:rsidR="00A95484">
        <w:rPr>
          <w:rFonts w:cs="Arial"/>
        </w:rPr>
        <w:t>“</w:t>
      </w:r>
      <w:r w:rsidR="00EF5070" w:rsidRPr="00DD748A">
        <w:rPr>
          <w:rFonts w:cs="Arial"/>
        </w:rPr>
        <w:t>B</w:t>
      </w:r>
      <w:r w:rsidR="00A95484">
        <w:rPr>
          <w:rFonts w:cs="Arial"/>
        </w:rPr>
        <w:t>”</w:t>
      </w:r>
      <w:r w:rsidR="00EF5070" w:rsidRPr="00DD748A">
        <w:rPr>
          <w:rFonts w:cs="Arial"/>
        </w:rPr>
        <w:t xml:space="preserve"> is large or equal to the measurement gap length of 6ms, the </w:t>
      </w:r>
      <w:r w:rsidR="00EF5070">
        <w:rPr>
          <w:rFonts w:cs="Arial"/>
        </w:rPr>
        <w:t xml:space="preserve">UE should be able to utilize those subframes </w:t>
      </w:r>
      <w:r w:rsidR="00EF5070" w:rsidRPr="00DD748A">
        <w:rPr>
          <w:rFonts w:cs="Arial"/>
        </w:rPr>
        <w:t>for the intra- and inter-frequency measurements, instead of</w:t>
      </w:r>
      <w:r w:rsidR="00EF5070" w:rsidRPr="00DD748A">
        <w:rPr>
          <w:rFonts w:cs="Arial"/>
          <w:b/>
        </w:rPr>
        <w:t xml:space="preserve"> </w:t>
      </w:r>
      <w:r w:rsidR="00EF5070" w:rsidRPr="00DD748A">
        <w:rPr>
          <w:rFonts w:cs="Arial"/>
        </w:rPr>
        <w:t>configuring measurement gaps for the UE.</w:t>
      </w:r>
    </w:p>
    <w:p w:rsidR="00EF5070" w:rsidRDefault="00EF5070" w:rsidP="00EF5070">
      <w:pPr>
        <w:rPr>
          <w:rFonts w:cs="Arial"/>
          <w:i/>
        </w:rPr>
      </w:pPr>
      <w:r w:rsidRPr="00EF5070">
        <w:rPr>
          <w:rFonts w:cs="Arial"/>
          <w:b/>
          <w:i/>
        </w:rPr>
        <w:t xml:space="preserve">Observation 1: </w:t>
      </w:r>
      <w:r w:rsidR="00155604">
        <w:rPr>
          <w:rFonts w:cs="Arial"/>
          <w:i/>
        </w:rPr>
        <w:t xml:space="preserve">When G (i.e., </w:t>
      </w:r>
      <w:r w:rsidR="00155604" w:rsidRPr="00DD748A">
        <w:rPr>
          <w:rFonts w:cs="Arial"/>
        </w:rPr>
        <w:t xml:space="preserve">parameter </w:t>
      </w:r>
      <w:r w:rsidR="00155604">
        <w:rPr>
          <w:rFonts w:cs="Arial"/>
          <w:i/>
        </w:rPr>
        <w:t xml:space="preserve">mPDCCH-startSF-UESS) is </w:t>
      </w:r>
      <w:r w:rsidR="00155604" w:rsidRPr="00155604">
        <w:rPr>
          <w:rFonts w:cs="Arial"/>
          <w:i/>
        </w:rPr>
        <w:t>configure to be larger than 1</w:t>
      </w:r>
      <w:r w:rsidR="00155604">
        <w:rPr>
          <w:rFonts w:cs="Arial"/>
          <w:i/>
        </w:rPr>
        <w:t xml:space="preserve">, up to </w:t>
      </w:r>
      <w:r w:rsidR="00155604" w:rsidRPr="009B1DD1">
        <w:rPr>
          <w:position w:val="-10"/>
        </w:rPr>
        <w:object w:dxaOrig="980" w:dyaOrig="300">
          <v:shape id="_x0000_i1057" type="#_x0000_t75" style="width:47.25pt;height:14.25pt" o:ole="">
            <v:imagedata r:id="rId62" o:title=""/>
          </v:shape>
          <o:OLEObject Type="Embed" ProgID="Equation.3" ShapeID="_x0000_i1057" DrawAspect="Content" ObjectID="_1539705455" r:id="rId70"/>
        </w:object>
      </w:r>
      <w:r w:rsidR="00155604" w:rsidRPr="00DD748A">
        <w:t xml:space="preserve"> </w:t>
      </w:r>
      <w:r w:rsidR="00155604" w:rsidRPr="00155604">
        <w:rPr>
          <w:i/>
        </w:rPr>
        <w:t xml:space="preserve">subframes </w:t>
      </w:r>
      <w:r w:rsidR="00155604">
        <w:rPr>
          <w:i/>
        </w:rPr>
        <w:t xml:space="preserve">(excluding the impact of invalid subframes) </w:t>
      </w:r>
      <w:r w:rsidR="00A95484">
        <w:rPr>
          <w:i/>
        </w:rPr>
        <w:t>may</w:t>
      </w:r>
      <w:r w:rsidR="00155604">
        <w:rPr>
          <w:i/>
        </w:rPr>
        <w:t xml:space="preserve"> not </w:t>
      </w:r>
      <w:r w:rsidR="00A95484">
        <w:rPr>
          <w:i/>
        </w:rPr>
        <w:t xml:space="preserve">be </w:t>
      </w:r>
      <w:r w:rsidR="00155604">
        <w:rPr>
          <w:i/>
        </w:rPr>
        <w:t xml:space="preserve">used in any uplink and downlink transmission. From </w:t>
      </w:r>
      <w:r w:rsidR="00A95484">
        <w:rPr>
          <w:i/>
        </w:rPr>
        <w:t>t</w:t>
      </w:r>
      <w:r w:rsidRPr="00EF5070">
        <w:rPr>
          <w:rFonts w:cs="Arial"/>
          <w:i/>
        </w:rPr>
        <w:t xml:space="preserve">he configurations of the MPDCCH and </w:t>
      </w:r>
      <w:r w:rsidR="002D6AD9">
        <w:rPr>
          <w:rFonts w:cs="Arial"/>
          <w:i/>
        </w:rPr>
        <w:t>valid/</w:t>
      </w:r>
      <w:r w:rsidRPr="00EF5070">
        <w:rPr>
          <w:rFonts w:cs="Arial"/>
          <w:i/>
        </w:rPr>
        <w:t xml:space="preserve">invalid subframes, both UE and BS knows </w:t>
      </w:r>
      <w:r w:rsidR="00155604">
        <w:rPr>
          <w:rFonts w:cs="Arial"/>
          <w:i/>
        </w:rPr>
        <w:t xml:space="preserve">exactly how many </w:t>
      </w:r>
      <w:r w:rsidRPr="00EF5070">
        <w:rPr>
          <w:rFonts w:cs="Arial"/>
          <w:i/>
        </w:rPr>
        <w:t xml:space="preserve">subframes are not used in any uplink and downlink transmission. If the number of those subframes is larger than measurement gap length of 6, these subframes can </w:t>
      </w:r>
      <w:r w:rsidR="00155604">
        <w:rPr>
          <w:rFonts w:cs="Arial"/>
          <w:i/>
        </w:rPr>
        <w:t xml:space="preserve">be </w:t>
      </w:r>
      <w:r w:rsidRPr="00EF5070">
        <w:rPr>
          <w:rFonts w:cs="Arial"/>
          <w:i/>
        </w:rPr>
        <w:t xml:space="preserve">used for intra- and inter-frequency measurements </w:t>
      </w:r>
      <w:r w:rsidR="004D2397">
        <w:rPr>
          <w:rFonts w:cs="Arial"/>
          <w:i/>
        </w:rPr>
        <w:t xml:space="preserve">without </w:t>
      </w:r>
      <w:r w:rsidR="00D93F17" w:rsidRPr="00EF5070">
        <w:rPr>
          <w:rFonts w:cs="Arial"/>
          <w:i/>
        </w:rPr>
        <w:t>configur</w:t>
      </w:r>
      <w:r w:rsidR="00D93F17">
        <w:rPr>
          <w:rFonts w:cs="Arial"/>
          <w:i/>
        </w:rPr>
        <w:t xml:space="preserve">ing </w:t>
      </w:r>
      <w:r w:rsidRPr="00EF5070">
        <w:rPr>
          <w:rFonts w:cs="Arial"/>
          <w:i/>
        </w:rPr>
        <w:t>measurement gaps for the UE.</w:t>
      </w:r>
    </w:p>
    <w:p w:rsidR="00EF5070" w:rsidRDefault="00EF5070" w:rsidP="00EF5070">
      <w:pPr>
        <w:rPr>
          <w:rFonts w:cs="Arial"/>
        </w:rPr>
      </w:pPr>
      <w:r w:rsidRPr="004964F6">
        <w:rPr>
          <w:rFonts w:cs="Arial"/>
        </w:rPr>
        <w:t xml:space="preserve">Based on above observation, we propose two options to </w:t>
      </w:r>
      <w:r w:rsidR="00AD4824">
        <w:rPr>
          <w:rFonts w:cs="Arial"/>
        </w:rPr>
        <w:t xml:space="preserve">introduce new requirements to utilize </w:t>
      </w:r>
      <w:r w:rsidRPr="004964F6">
        <w:rPr>
          <w:rFonts w:cs="Arial"/>
        </w:rPr>
        <w:t>those</w:t>
      </w:r>
      <w:r w:rsidR="004964F6" w:rsidRPr="004964F6">
        <w:rPr>
          <w:rFonts w:cs="Arial"/>
        </w:rPr>
        <w:t xml:space="preserve"> subframes that </w:t>
      </w:r>
      <w:r w:rsidR="00AD4824">
        <w:rPr>
          <w:rFonts w:cs="Arial"/>
        </w:rPr>
        <w:t xml:space="preserve">are </w:t>
      </w:r>
      <w:r w:rsidR="004964F6" w:rsidRPr="004964F6">
        <w:rPr>
          <w:rFonts w:cs="Arial"/>
        </w:rPr>
        <w:t>not used in any uplink and downlink transmission</w:t>
      </w:r>
      <w:r w:rsidR="004964F6">
        <w:rPr>
          <w:rFonts w:cs="Arial"/>
        </w:rPr>
        <w:t xml:space="preserve">, for </w:t>
      </w:r>
      <w:r w:rsidR="004964F6" w:rsidRPr="004964F6">
        <w:rPr>
          <w:rFonts w:cs="Arial"/>
        </w:rPr>
        <w:t>intra- and inter-frequency measurements:</w:t>
      </w:r>
    </w:p>
    <w:p w:rsidR="00CD0797" w:rsidRPr="00CD0797" w:rsidRDefault="004D2397" w:rsidP="004964F6">
      <w:pPr>
        <w:rPr>
          <w:rFonts w:cs="Arial"/>
          <w:i/>
        </w:rPr>
      </w:pPr>
      <w:r>
        <w:rPr>
          <w:rFonts w:cs="Arial"/>
          <w:b/>
          <w:i/>
        </w:rPr>
        <w:t>Proposal</w:t>
      </w:r>
      <w:r w:rsidR="00AD4824">
        <w:rPr>
          <w:rFonts w:cs="Arial"/>
          <w:b/>
          <w:i/>
        </w:rPr>
        <w:t xml:space="preserve"> </w:t>
      </w:r>
      <w:r w:rsidR="004964F6" w:rsidRPr="00CD0797">
        <w:rPr>
          <w:rFonts w:cs="Arial"/>
          <w:b/>
          <w:i/>
        </w:rPr>
        <w:t>1</w:t>
      </w:r>
      <w:r w:rsidR="004964F6" w:rsidRPr="00CD0797">
        <w:rPr>
          <w:rFonts w:cs="Arial"/>
          <w:i/>
        </w:rPr>
        <w:t>: (</w:t>
      </w:r>
      <w:r w:rsidR="00CD0797">
        <w:rPr>
          <w:rFonts w:cs="Arial"/>
          <w:i/>
        </w:rPr>
        <w:t>without explicit signalling support</w:t>
      </w:r>
      <w:r w:rsidR="004964F6" w:rsidRPr="00CD0797">
        <w:rPr>
          <w:rFonts w:cs="Arial"/>
          <w:i/>
        </w:rPr>
        <w:t xml:space="preserve">). If the number of </w:t>
      </w:r>
      <w:r w:rsidR="00CD0797" w:rsidRPr="00CD0797">
        <w:rPr>
          <w:rFonts w:cs="Arial"/>
          <w:i/>
        </w:rPr>
        <w:t>the</w:t>
      </w:r>
      <w:r w:rsidR="004964F6" w:rsidRPr="00CD0797">
        <w:rPr>
          <w:rFonts w:cs="Arial"/>
          <w:i/>
        </w:rPr>
        <w:t xml:space="preserve"> subframes </w:t>
      </w:r>
      <w:r w:rsidR="00CD0797" w:rsidRPr="00CD0797">
        <w:rPr>
          <w:rFonts w:cs="Arial"/>
          <w:i/>
        </w:rPr>
        <w:t xml:space="preserve">that are known not to be used in any uplink and downlink transmission in each MPDCCH period </w:t>
      </w:r>
      <w:r w:rsidR="00CD0797" w:rsidRPr="00CD0797">
        <w:rPr>
          <w:i/>
          <w:position w:val="-10"/>
        </w:rPr>
        <w:object w:dxaOrig="1020" w:dyaOrig="300">
          <v:shape id="_x0000_i1058" type="#_x0000_t75" style="width:48.75pt;height:14.25pt" o:ole="">
            <v:imagedata r:id="rId28" o:title=""/>
          </v:shape>
          <o:OLEObject Type="Embed" ProgID="Equation.3" ShapeID="_x0000_i1058" DrawAspect="Content" ObjectID="_1539705456" r:id="rId71"/>
        </w:object>
      </w:r>
      <w:r w:rsidR="00CD0797" w:rsidRPr="00CD0797">
        <w:rPr>
          <w:rFonts w:cs="Arial"/>
          <w:i/>
        </w:rPr>
        <w:t xml:space="preserve">, is larger than the measurement gap length of 6ms, the UE should use these subframes for intra- and inter-frequency measurements without the need of </w:t>
      </w:r>
      <w:r w:rsidR="00155604" w:rsidRPr="00EF5070">
        <w:rPr>
          <w:rFonts w:cs="Arial"/>
          <w:i/>
        </w:rPr>
        <w:t>configur</w:t>
      </w:r>
      <w:r w:rsidR="00155604">
        <w:rPr>
          <w:rFonts w:cs="Arial"/>
          <w:i/>
        </w:rPr>
        <w:t xml:space="preserve">ing </w:t>
      </w:r>
      <w:r w:rsidR="00AD4824">
        <w:rPr>
          <w:rFonts w:cs="Arial"/>
          <w:i/>
        </w:rPr>
        <w:t>measurement gaps. For this option, the requirements may be introduced in TS 36.133 without impact on speciation of higher layer signalling.</w:t>
      </w:r>
    </w:p>
    <w:p w:rsidR="00CD0797" w:rsidRPr="00CD0797" w:rsidRDefault="00165149" w:rsidP="00CD0797">
      <w:pPr>
        <w:rPr>
          <w:rFonts w:cs="Arial"/>
          <w:i/>
        </w:rPr>
      </w:pPr>
      <w:r>
        <w:rPr>
          <w:rFonts w:cs="Arial"/>
          <w:b/>
          <w:i/>
        </w:rPr>
        <w:t>Proposal</w:t>
      </w:r>
      <w:r w:rsidR="00AD4824">
        <w:rPr>
          <w:rFonts w:cs="Arial"/>
          <w:b/>
          <w:i/>
        </w:rPr>
        <w:t xml:space="preserve"> 2</w:t>
      </w:r>
      <w:r w:rsidR="00CD0797" w:rsidRPr="00CD0797">
        <w:rPr>
          <w:rFonts w:cs="Arial"/>
          <w:i/>
        </w:rPr>
        <w:t>: (</w:t>
      </w:r>
      <w:r w:rsidR="00CD0797">
        <w:rPr>
          <w:rFonts w:cs="Arial"/>
          <w:i/>
        </w:rPr>
        <w:t>with explicit signalling support</w:t>
      </w:r>
      <w:r w:rsidR="00CD0797" w:rsidRPr="00CD0797">
        <w:rPr>
          <w:rFonts w:cs="Arial"/>
          <w:i/>
        </w:rPr>
        <w:t>). If the number of the subframes</w:t>
      </w:r>
      <w:r w:rsidR="00604685">
        <w:rPr>
          <w:rFonts w:cs="Arial"/>
          <w:i/>
        </w:rPr>
        <w:t>, which</w:t>
      </w:r>
      <w:r w:rsidR="00CD0797" w:rsidRPr="00CD0797">
        <w:rPr>
          <w:rFonts w:cs="Arial"/>
          <w:i/>
        </w:rPr>
        <w:t xml:space="preserve"> are known not to be used in any uplink and downlink transmission in each MPDCCH period </w:t>
      </w:r>
      <w:r w:rsidR="00CD0797" w:rsidRPr="00CD0797">
        <w:rPr>
          <w:i/>
          <w:position w:val="-10"/>
        </w:rPr>
        <w:object w:dxaOrig="1020" w:dyaOrig="300">
          <v:shape id="_x0000_i1059" type="#_x0000_t75" style="width:48.75pt;height:14.25pt" o:ole="">
            <v:imagedata r:id="rId28" o:title=""/>
          </v:shape>
          <o:OLEObject Type="Embed" ProgID="Equation.3" ShapeID="_x0000_i1059" DrawAspect="Content" ObjectID="_1539705457" r:id="rId72"/>
        </w:object>
      </w:r>
      <w:r w:rsidR="00CD0797" w:rsidRPr="00CD0797">
        <w:rPr>
          <w:rFonts w:cs="Arial"/>
          <w:i/>
        </w:rPr>
        <w:t xml:space="preserve">, is larger than the measurement gap length of 6ms, </w:t>
      </w:r>
      <w:r w:rsidR="008A5A7A">
        <w:rPr>
          <w:rFonts w:cs="Arial"/>
          <w:i/>
        </w:rPr>
        <w:t xml:space="preserve">and if the network </w:t>
      </w:r>
      <w:r w:rsidR="00604685">
        <w:rPr>
          <w:rFonts w:cs="Arial"/>
          <w:i/>
        </w:rPr>
        <w:t>sends an indication to</w:t>
      </w:r>
      <w:r w:rsidR="008A5A7A">
        <w:rPr>
          <w:rFonts w:cs="Arial"/>
          <w:i/>
        </w:rPr>
        <w:t xml:space="preserve"> the UE to </w:t>
      </w:r>
      <w:r w:rsidR="00CD0797" w:rsidRPr="00CD0797">
        <w:rPr>
          <w:rFonts w:cs="Arial"/>
          <w:i/>
        </w:rPr>
        <w:t xml:space="preserve">use these subframes for intra- and inter-frequency measurements without </w:t>
      </w:r>
      <w:r w:rsidR="008A5A7A">
        <w:rPr>
          <w:rFonts w:cs="Arial"/>
          <w:i/>
        </w:rPr>
        <w:t xml:space="preserve">configuring measurement gaps, the UE should use these </w:t>
      </w:r>
      <w:r w:rsidR="008A5A7A" w:rsidRPr="00CD0797">
        <w:rPr>
          <w:rFonts w:cs="Arial"/>
          <w:i/>
        </w:rPr>
        <w:t xml:space="preserve">subframes for intra- and inter-frequency measurements without </w:t>
      </w:r>
      <w:r w:rsidR="008A5A7A">
        <w:rPr>
          <w:rFonts w:cs="Arial"/>
          <w:i/>
        </w:rPr>
        <w:t>configuring measurement gaps.</w:t>
      </w:r>
      <w:r w:rsidR="00604685">
        <w:rPr>
          <w:rFonts w:cs="Arial"/>
          <w:i/>
        </w:rPr>
        <w:t xml:space="preserve"> For this option, the requirements may be introduced not only in TS 36.133, but also on speciation of higher layer signalling, and thus, </w:t>
      </w:r>
      <w:r w:rsidR="00950922">
        <w:rPr>
          <w:rFonts w:cs="Arial"/>
          <w:i/>
        </w:rPr>
        <w:t xml:space="preserve">RAN4 may need send </w:t>
      </w:r>
      <w:r w:rsidR="00E16C0D">
        <w:rPr>
          <w:rFonts w:cs="Arial"/>
          <w:i/>
        </w:rPr>
        <w:t>an LS to RAN2, suggesting the introduction of the signalling support.</w:t>
      </w:r>
    </w:p>
    <w:p w:rsidR="005F0A31" w:rsidRDefault="00B574B5" w:rsidP="00AC76ED">
      <w:pPr>
        <w:pStyle w:val="Heading1"/>
      </w:pPr>
      <w:r>
        <w:lastRenderedPageBreak/>
        <w:t>Summary</w:t>
      </w:r>
    </w:p>
    <w:p w:rsidR="00155604" w:rsidRDefault="005F0A31" w:rsidP="00155604">
      <w:r w:rsidRPr="001B78B8">
        <w:t>In this paper</w:t>
      </w:r>
      <w:r w:rsidR="003712ED" w:rsidRPr="001B78B8">
        <w:t>,</w:t>
      </w:r>
      <w:r w:rsidRPr="001B78B8">
        <w:t xml:space="preserve"> we </w:t>
      </w:r>
      <w:r w:rsidR="00BC52AF" w:rsidRPr="001B78B8">
        <w:t xml:space="preserve">discussed </w:t>
      </w:r>
      <w:r w:rsidR="00155604">
        <w:t>eMTC intra-frequency and inter-frequency measurements without configuring the measurement gaps. It was observed that</w:t>
      </w:r>
    </w:p>
    <w:p w:rsidR="00F140F6" w:rsidRDefault="00F140F6" w:rsidP="00F140F6">
      <w:pPr>
        <w:rPr>
          <w:rFonts w:cs="Arial"/>
          <w:i/>
        </w:rPr>
      </w:pPr>
      <w:r w:rsidRPr="00EF5070">
        <w:rPr>
          <w:rFonts w:cs="Arial"/>
          <w:b/>
          <w:i/>
        </w:rPr>
        <w:t xml:space="preserve">Observation 1: </w:t>
      </w:r>
      <w:r>
        <w:rPr>
          <w:rFonts w:cs="Arial"/>
          <w:i/>
        </w:rPr>
        <w:t xml:space="preserve">When G (i.e., </w:t>
      </w:r>
      <w:r w:rsidRPr="00DD748A">
        <w:rPr>
          <w:rFonts w:cs="Arial"/>
        </w:rPr>
        <w:t xml:space="preserve">parameter </w:t>
      </w:r>
      <w:r>
        <w:rPr>
          <w:rFonts w:cs="Arial"/>
          <w:i/>
        </w:rPr>
        <w:t xml:space="preserve">mPDCCH-startSF-UESS) is </w:t>
      </w:r>
      <w:r w:rsidRPr="00155604">
        <w:rPr>
          <w:rFonts w:cs="Arial"/>
          <w:i/>
        </w:rPr>
        <w:t>configure to be larger than 1</w:t>
      </w:r>
      <w:r>
        <w:rPr>
          <w:rFonts w:cs="Arial"/>
          <w:i/>
        </w:rPr>
        <w:t xml:space="preserve">, up to </w:t>
      </w:r>
      <w:r w:rsidRPr="009B1DD1">
        <w:rPr>
          <w:position w:val="-10"/>
        </w:rPr>
        <w:object w:dxaOrig="980" w:dyaOrig="300">
          <v:shape id="_x0000_i1060" type="#_x0000_t75" style="width:47.25pt;height:14.25pt" o:ole="">
            <v:imagedata r:id="rId62" o:title=""/>
          </v:shape>
          <o:OLEObject Type="Embed" ProgID="Equation.3" ShapeID="_x0000_i1060" DrawAspect="Content" ObjectID="_1539705458" r:id="rId73"/>
        </w:object>
      </w:r>
      <w:r w:rsidRPr="00DD748A">
        <w:t xml:space="preserve"> </w:t>
      </w:r>
      <w:r w:rsidRPr="00155604">
        <w:rPr>
          <w:i/>
        </w:rPr>
        <w:t xml:space="preserve">subframes </w:t>
      </w:r>
      <w:r>
        <w:rPr>
          <w:i/>
        </w:rPr>
        <w:t>(excluding the impact of invalid subframes) may not be used in any uplink and downlink transmission. From t</w:t>
      </w:r>
      <w:r w:rsidRPr="00EF5070">
        <w:rPr>
          <w:rFonts w:cs="Arial"/>
          <w:i/>
        </w:rPr>
        <w:t xml:space="preserve">he configurations of the MPDCCH and </w:t>
      </w:r>
      <w:r>
        <w:rPr>
          <w:rFonts w:cs="Arial"/>
          <w:i/>
        </w:rPr>
        <w:t>valid/</w:t>
      </w:r>
      <w:r w:rsidRPr="00EF5070">
        <w:rPr>
          <w:rFonts w:cs="Arial"/>
          <w:i/>
        </w:rPr>
        <w:t xml:space="preserve">invalid subframes, both UE and BS knows </w:t>
      </w:r>
      <w:r>
        <w:rPr>
          <w:rFonts w:cs="Arial"/>
          <w:i/>
        </w:rPr>
        <w:t xml:space="preserve">exactly how many </w:t>
      </w:r>
      <w:r w:rsidRPr="00EF5070">
        <w:rPr>
          <w:rFonts w:cs="Arial"/>
          <w:i/>
        </w:rPr>
        <w:t xml:space="preserve">subframes are not used in any uplink and downlink transmission. If the number of those subframes is larger than measurement gap length of 6, these subframes can </w:t>
      </w:r>
      <w:r>
        <w:rPr>
          <w:rFonts w:cs="Arial"/>
          <w:i/>
        </w:rPr>
        <w:t xml:space="preserve">be </w:t>
      </w:r>
      <w:r w:rsidRPr="00EF5070">
        <w:rPr>
          <w:rFonts w:cs="Arial"/>
          <w:i/>
        </w:rPr>
        <w:t xml:space="preserve">used for intra- and inter-frequency </w:t>
      </w:r>
      <w:r w:rsidR="00B33B1F">
        <w:rPr>
          <w:rFonts w:cs="Arial"/>
          <w:i/>
        </w:rPr>
        <w:t xml:space="preserve">cell search and </w:t>
      </w:r>
      <w:r w:rsidRPr="00EF5070">
        <w:rPr>
          <w:rFonts w:cs="Arial"/>
          <w:i/>
        </w:rPr>
        <w:t xml:space="preserve">measurements </w:t>
      </w:r>
      <w:r>
        <w:rPr>
          <w:rFonts w:cs="Arial"/>
          <w:i/>
        </w:rPr>
        <w:t xml:space="preserve">without </w:t>
      </w:r>
      <w:r w:rsidRPr="00EF5070">
        <w:rPr>
          <w:rFonts w:cs="Arial"/>
          <w:i/>
        </w:rPr>
        <w:t>configur</w:t>
      </w:r>
      <w:r>
        <w:rPr>
          <w:rFonts w:cs="Arial"/>
          <w:i/>
        </w:rPr>
        <w:t xml:space="preserve">ing </w:t>
      </w:r>
      <w:r w:rsidRPr="00EF5070">
        <w:rPr>
          <w:rFonts w:cs="Arial"/>
          <w:i/>
        </w:rPr>
        <w:t>measurement gaps for the UE.</w:t>
      </w:r>
    </w:p>
    <w:p w:rsidR="00950922" w:rsidRDefault="00950922" w:rsidP="00950922">
      <w:pPr>
        <w:rPr>
          <w:rFonts w:cs="Arial"/>
        </w:rPr>
      </w:pPr>
      <w:r w:rsidRPr="004964F6">
        <w:rPr>
          <w:rFonts w:cs="Arial"/>
        </w:rPr>
        <w:t xml:space="preserve">Based on above observation, we propose two options to </w:t>
      </w:r>
      <w:r>
        <w:rPr>
          <w:rFonts w:cs="Arial"/>
        </w:rPr>
        <w:t xml:space="preserve">introduce new requirements to utilize </w:t>
      </w:r>
      <w:r w:rsidRPr="004964F6">
        <w:rPr>
          <w:rFonts w:cs="Arial"/>
        </w:rPr>
        <w:t xml:space="preserve">those subframes that </w:t>
      </w:r>
      <w:r>
        <w:rPr>
          <w:rFonts w:cs="Arial"/>
        </w:rPr>
        <w:t xml:space="preserve">are </w:t>
      </w:r>
      <w:r w:rsidRPr="004964F6">
        <w:rPr>
          <w:rFonts w:cs="Arial"/>
        </w:rPr>
        <w:t>not used in any uplink and downlink transmission</w:t>
      </w:r>
      <w:r>
        <w:rPr>
          <w:rFonts w:cs="Arial"/>
        </w:rPr>
        <w:t xml:space="preserve">, for </w:t>
      </w:r>
      <w:r w:rsidR="00B33B1F" w:rsidRPr="00B33B1F">
        <w:rPr>
          <w:rFonts w:cs="Arial"/>
        </w:rPr>
        <w:t>intra- and inter-frequency cell search and measurements</w:t>
      </w:r>
      <w:r w:rsidRPr="004964F6">
        <w:rPr>
          <w:rFonts w:cs="Arial"/>
        </w:rPr>
        <w:t>:</w:t>
      </w:r>
    </w:p>
    <w:p w:rsidR="00165149" w:rsidRPr="00CD0797" w:rsidRDefault="00165149" w:rsidP="00165149">
      <w:pPr>
        <w:rPr>
          <w:rFonts w:cs="Arial"/>
          <w:i/>
        </w:rPr>
      </w:pPr>
      <w:r>
        <w:rPr>
          <w:rFonts w:cs="Arial"/>
          <w:b/>
          <w:i/>
        </w:rPr>
        <w:t xml:space="preserve">Proposal </w:t>
      </w:r>
      <w:r w:rsidRPr="00CD0797">
        <w:rPr>
          <w:rFonts w:cs="Arial"/>
          <w:b/>
          <w:i/>
        </w:rPr>
        <w:t>1</w:t>
      </w:r>
      <w:r w:rsidRPr="00CD0797">
        <w:rPr>
          <w:rFonts w:cs="Arial"/>
          <w:i/>
        </w:rPr>
        <w:t>: (</w:t>
      </w:r>
      <w:r>
        <w:rPr>
          <w:rFonts w:cs="Arial"/>
          <w:i/>
        </w:rPr>
        <w:t>without explicit signalling support</w:t>
      </w:r>
      <w:r w:rsidRPr="00CD0797">
        <w:rPr>
          <w:rFonts w:cs="Arial"/>
          <w:i/>
        </w:rPr>
        <w:t xml:space="preserve">). If the number of the subframes that are known not to be used in any uplink and downlink transmission in each MPDCCH period </w:t>
      </w:r>
      <w:r w:rsidRPr="00CD0797">
        <w:rPr>
          <w:i/>
          <w:position w:val="-10"/>
        </w:rPr>
        <w:object w:dxaOrig="1020" w:dyaOrig="300">
          <v:shape id="_x0000_i1061" type="#_x0000_t75" style="width:48.75pt;height:14.25pt" o:ole="">
            <v:imagedata r:id="rId28" o:title=""/>
          </v:shape>
          <o:OLEObject Type="Embed" ProgID="Equation.3" ShapeID="_x0000_i1061" DrawAspect="Content" ObjectID="_1539705459" r:id="rId74"/>
        </w:object>
      </w:r>
      <w:r w:rsidRPr="00CD0797">
        <w:rPr>
          <w:rFonts w:cs="Arial"/>
          <w:i/>
        </w:rPr>
        <w:t xml:space="preserve">, is larger than the measurement gap length of 6ms, the UE should use these subframes for intra- and inter-frequency </w:t>
      </w:r>
      <w:r w:rsidR="00B33B1F">
        <w:rPr>
          <w:rFonts w:cs="Arial"/>
          <w:i/>
        </w:rPr>
        <w:t xml:space="preserve">cell search and </w:t>
      </w:r>
      <w:r w:rsidRPr="00CD0797">
        <w:rPr>
          <w:rFonts w:cs="Arial"/>
          <w:i/>
        </w:rPr>
        <w:t xml:space="preserve">measurements without the need of </w:t>
      </w:r>
      <w:r w:rsidRPr="00EF5070">
        <w:rPr>
          <w:rFonts w:cs="Arial"/>
          <w:i/>
        </w:rPr>
        <w:t>configur</w:t>
      </w:r>
      <w:r>
        <w:rPr>
          <w:rFonts w:cs="Arial"/>
          <w:i/>
        </w:rPr>
        <w:t>ing measurement gaps. For this option, the requirements may be introduced in TS 36.133 without impact on speciation of higher layer signalling.</w:t>
      </w:r>
    </w:p>
    <w:p w:rsidR="00950922" w:rsidRPr="00CD0797" w:rsidRDefault="00165149" w:rsidP="00950922">
      <w:pPr>
        <w:rPr>
          <w:rFonts w:cs="Arial"/>
          <w:i/>
        </w:rPr>
      </w:pPr>
      <w:r>
        <w:rPr>
          <w:rFonts w:cs="Arial"/>
          <w:b/>
          <w:i/>
        </w:rPr>
        <w:t>Proposal 2</w:t>
      </w:r>
      <w:r w:rsidRPr="00CD0797">
        <w:rPr>
          <w:rFonts w:cs="Arial"/>
          <w:i/>
        </w:rPr>
        <w:t>: (</w:t>
      </w:r>
      <w:r>
        <w:rPr>
          <w:rFonts w:cs="Arial"/>
          <w:i/>
        </w:rPr>
        <w:t>with explicit signalling support</w:t>
      </w:r>
      <w:r w:rsidRPr="00CD0797">
        <w:rPr>
          <w:rFonts w:cs="Arial"/>
          <w:i/>
        </w:rPr>
        <w:t>). If the number of the subframes</w:t>
      </w:r>
      <w:r>
        <w:rPr>
          <w:rFonts w:cs="Arial"/>
          <w:i/>
        </w:rPr>
        <w:t>, which</w:t>
      </w:r>
      <w:r w:rsidRPr="00CD0797">
        <w:rPr>
          <w:rFonts w:cs="Arial"/>
          <w:i/>
        </w:rPr>
        <w:t xml:space="preserve"> are known not to be used in any uplink and downlink transmission in each MPDCCH period </w:t>
      </w:r>
      <w:r w:rsidRPr="00CD0797">
        <w:rPr>
          <w:i/>
          <w:position w:val="-10"/>
        </w:rPr>
        <w:object w:dxaOrig="1020" w:dyaOrig="300">
          <v:shape id="_x0000_i1062" type="#_x0000_t75" style="width:48.75pt;height:14.25pt" o:ole="">
            <v:imagedata r:id="rId28" o:title=""/>
          </v:shape>
          <o:OLEObject Type="Embed" ProgID="Equation.3" ShapeID="_x0000_i1062" DrawAspect="Content" ObjectID="_1539705460" r:id="rId75"/>
        </w:object>
      </w:r>
      <w:r w:rsidRPr="00CD0797">
        <w:rPr>
          <w:rFonts w:cs="Arial"/>
          <w:i/>
        </w:rPr>
        <w:t xml:space="preserve">, is larger than the measurement gap length of 6ms, </w:t>
      </w:r>
      <w:r>
        <w:rPr>
          <w:rFonts w:cs="Arial"/>
          <w:i/>
        </w:rPr>
        <w:t xml:space="preserve">and if the network sends an indication to the UE to </w:t>
      </w:r>
      <w:r w:rsidRPr="00CD0797">
        <w:rPr>
          <w:rFonts w:cs="Arial"/>
          <w:i/>
        </w:rPr>
        <w:t>use these subframes for intra- and inter-frequency</w:t>
      </w:r>
      <w:r w:rsidR="00B33B1F">
        <w:rPr>
          <w:rFonts w:cs="Arial"/>
          <w:i/>
        </w:rPr>
        <w:t xml:space="preserve"> </w:t>
      </w:r>
      <w:r w:rsidR="00B33B1F">
        <w:rPr>
          <w:rFonts w:cs="Arial"/>
          <w:i/>
        </w:rPr>
        <w:t xml:space="preserve">cell search and </w:t>
      </w:r>
      <w:bookmarkStart w:id="2" w:name="_GoBack"/>
      <w:bookmarkEnd w:id="2"/>
      <w:r w:rsidRPr="00CD0797">
        <w:rPr>
          <w:rFonts w:cs="Arial"/>
          <w:i/>
        </w:rPr>
        <w:t xml:space="preserve">measurements without </w:t>
      </w:r>
      <w:r>
        <w:rPr>
          <w:rFonts w:cs="Arial"/>
          <w:i/>
        </w:rPr>
        <w:t xml:space="preserve">configuring measurement gaps, the UE should use these </w:t>
      </w:r>
      <w:r w:rsidRPr="00CD0797">
        <w:rPr>
          <w:rFonts w:cs="Arial"/>
          <w:i/>
        </w:rPr>
        <w:t xml:space="preserve">subframes for intra- and inter-frequency measurements without </w:t>
      </w:r>
      <w:r>
        <w:rPr>
          <w:rFonts w:cs="Arial"/>
          <w:i/>
        </w:rPr>
        <w:t>configuring measurement gaps. For this option, the requirements may be introduced not only in TS 36.133, but also on speciation of higher layer signalling, and thus, RAN4 may need send an LS to RAN2, suggesting the introduction of the signalling support.</w:t>
      </w:r>
    </w:p>
    <w:p w:rsidR="005F0A31" w:rsidRPr="005F67E6" w:rsidRDefault="005F0A31" w:rsidP="005F0A31">
      <w:pPr>
        <w:pStyle w:val="Heading1"/>
      </w:pPr>
      <w:r w:rsidRPr="005F67E6">
        <w:t>References</w:t>
      </w:r>
    </w:p>
    <w:bookmarkEnd w:id="0"/>
    <w:bookmarkEnd w:id="1"/>
    <w:p w:rsidR="001067F2" w:rsidRDefault="001067F2" w:rsidP="001067F2">
      <w:pPr>
        <w:numPr>
          <w:ilvl w:val="0"/>
          <w:numId w:val="8"/>
        </w:numPr>
        <w:overflowPunct w:val="0"/>
        <w:autoSpaceDE w:val="0"/>
        <w:autoSpaceDN w:val="0"/>
        <w:adjustRightInd w:val="0"/>
        <w:spacing w:after="0"/>
        <w:textAlignment w:val="baseline"/>
      </w:pPr>
      <w:r>
        <w:t>3GPP TS 36.211, “E-UTRA: Physical channels and modulation”</w:t>
      </w:r>
    </w:p>
    <w:p w:rsidR="001067F2" w:rsidRDefault="001067F2" w:rsidP="001067F2">
      <w:pPr>
        <w:numPr>
          <w:ilvl w:val="0"/>
          <w:numId w:val="8"/>
        </w:numPr>
        <w:overflowPunct w:val="0"/>
        <w:autoSpaceDE w:val="0"/>
        <w:autoSpaceDN w:val="0"/>
        <w:adjustRightInd w:val="0"/>
        <w:spacing w:after="0"/>
        <w:textAlignment w:val="baseline"/>
      </w:pPr>
      <w:r>
        <w:t>3GPP TS 36.331, “E-UTRA: Radio Resource Control (RRC) Protocol specification”</w:t>
      </w:r>
    </w:p>
    <w:p w:rsidR="001067F2" w:rsidRDefault="001067F2" w:rsidP="001067F2">
      <w:pPr>
        <w:numPr>
          <w:ilvl w:val="0"/>
          <w:numId w:val="8"/>
        </w:numPr>
        <w:overflowPunct w:val="0"/>
        <w:autoSpaceDE w:val="0"/>
        <w:autoSpaceDN w:val="0"/>
        <w:adjustRightInd w:val="0"/>
        <w:spacing w:after="0"/>
        <w:textAlignment w:val="baseline"/>
      </w:pPr>
      <w:r>
        <w:t>3GPP TS 36.133, “E-UTRA: Requirements for support of radio resource management”</w:t>
      </w:r>
    </w:p>
    <w:sectPr w:rsidR="001067F2" w:rsidSect="00D439D6">
      <w:footerReference w:type="even" r:id="rId76"/>
      <w:footerReference w:type="default" r:id="rId7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775" w:rsidRDefault="00A66775" w:rsidP="005D0D84">
      <w:pPr>
        <w:spacing w:after="0"/>
      </w:pPr>
      <w:r>
        <w:separator/>
      </w:r>
    </w:p>
  </w:endnote>
  <w:endnote w:type="continuationSeparator" w:id="0">
    <w:p w:rsidR="00A66775" w:rsidRDefault="00A66775" w:rsidP="005D0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E81" w:rsidRDefault="00984E81" w:rsidP="00D439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984E81" w:rsidRDefault="00984E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E81" w:rsidRDefault="00984E81" w:rsidP="00D439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3B1F">
      <w:rPr>
        <w:rStyle w:val="PageNumber"/>
      </w:rPr>
      <w:t>4</w:t>
    </w:r>
    <w:r>
      <w:rPr>
        <w:rStyle w:val="PageNumber"/>
      </w:rPr>
      <w:fldChar w:fldCharType="end"/>
    </w:r>
  </w:p>
  <w:p w:rsidR="00984E81" w:rsidRDefault="00984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775" w:rsidRDefault="00A66775" w:rsidP="005D0D84">
      <w:pPr>
        <w:spacing w:after="0"/>
      </w:pPr>
      <w:r>
        <w:separator/>
      </w:r>
    </w:p>
  </w:footnote>
  <w:footnote w:type="continuationSeparator" w:id="0">
    <w:p w:rsidR="00A66775" w:rsidRDefault="00A66775" w:rsidP="005D0D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B920F2"/>
    <w:multiLevelType w:val="hybridMultilevel"/>
    <w:tmpl w:val="16984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30DCB"/>
    <w:multiLevelType w:val="hybridMultilevel"/>
    <w:tmpl w:val="D19491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87BE0"/>
    <w:multiLevelType w:val="hybridMultilevel"/>
    <w:tmpl w:val="22521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44AE5"/>
    <w:multiLevelType w:val="hybridMultilevel"/>
    <w:tmpl w:val="00307C04"/>
    <w:lvl w:ilvl="0" w:tplc="104A6A72">
      <w:start w:val="1"/>
      <w:numFmt w:val="bullet"/>
      <w:lvlText w:val="•"/>
      <w:lvlJc w:val="left"/>
      <w:pPr>
        <w:tabs>
          <w:tab w:val="num" w:pos="720"/>
        </w:tabs>
        <w:ind w:left="720" w:hanging="360"/>
      </w:pPr>
      <w:rPr>
        <w:rFonts w:ascii="Arial" w:hAnsi="Arial" w:hint="default"/>
      </w:rPr>
    </w:lvl>
    <w:lvl w:ilvl="1" w:tplc="01E895F4" w:tentative="1">
      <w:start w:val="1"/>
      <w:numFmt w:val="bullet"/>
      <w:lvlText w:val="•"/>
      <w:lvlJc w:val="left"/>
      <w:pPr>
        <w:tabs>
          <w:tab w:val="num" w:pos="1440"/>
        </w:tabs>
        <w:ind w:left="1440" w:hanging="360"/>
      </w:pPr>
      <w:rPr>
        <w:rFonts w:ascii="Arial" w:hAnsi="Arial" w:hint="default"/>
      </w:rPr>
    </w:lvl>
    <w:lvl w:ilvl="2" w:tplc="557E4750" w:tentative="1">
      <w:start w:val="1"/>
      <w:numFmt w:val="bullet"/>
      <w:lvlText w:val="•"/>
      <w:lvlJc w:val="left"/>
      <w:pPr>
        <w:tabs>
          <w:tab w:val="num" w:pos="2160"/>
        </w:tabs>
        <w:ind w:left="2160" w:hanging="360"/>
      </w:pPr>
      <w:rPr>
        <w:rFonts w:ascii="Arial" w:hAnsi="Arial" w:hint="default"/>
      </w:rPr>
    </w:lvl>
    <w:lvl w:ilvl="3" w:tplc="2D08ED64" w:tentative="1">
      <w:start w:val="1"/>
      <w:numFmt w:val="bullet"/>
      <w:lvlText w:val="•"/>
      <w:lvlJc w:val="left"/>
      <w:pPr>
        <w:tabs>
          <w:tab w:val="num" w:pos="2880"/>
        </w:tabs>
        <w:ind w:left="2880" w:hanging="360"/>
      </w:pPr>
      <w:rPr>
        <w:rFonts w:ascii="Arial" w:hAnsi="Arial" w:hint="default"/>
      </w:rPr>
    </w:lvl>
    <w:lvl w:ilvl="4" w:tplc="995E3A0E" w:tentative="1">
      <w:start w:val="1"/>
      <w:numFmt w:val="bullet"/>
      <w:lvlText w:val="•"/>
      <w:lvlJc w:val="left"/>
      <w:pPr>
        <w:tabs>
          <w:tab w:val="num" w:pos="3600"/>
        </w:tabs>
        <w:ind w:left="3600" w:hanging="360"/>
      </w:pPr>
      <w:rPr>
        <w:rFonts w:ascii="Arial" w:hAnsi="Arial" w:hint="default"/>
      </w:rPr>
    </w:lvl>
    <w:lvl w:ilvl="5" w:tplc="848A1F7C" w:tentative="1">
      <w:start w:val="1"/>
      <w:numFmt w:val="bullet"/>
      <w:lvlText w:val="•"/>
      <w:lvlJc w:val="left"/>
      <w:pPr>
        <w:tabs>
          <w:tab w:val="num" w:pos="4320"/>
        </w:tabs>
        <w:ind w:left="4320" w:hanging="360"/>
      </w:pPr>
      <w:rPr>
        <w:rFonts w:ascii="Arial" w:hAnsi="Arial" w:hint="default"/>
      </w:rPr>
    </w:lvl>
    <w:lvl w:ilvl="6" w:tplc="5B5678D4" w:tentative="1">
      <w:start w:val="1"/>
      <w:numFmt w:val="bullet"/>
      <w:lvlText w:val="•"/>
      <w:lvlJc w:val="left"/>
      <w:pPr>
        <w:tabs>
          <w:tab w:val="num" w:pos="5040"/>
        </w:tabs>
        <w:ind w:left="5040" w:hanging="360"/>
      </w:pPr>
      <w:rPr>
        <w:rFonts w:ascii="Arial" w:hAnsi="Arial" w:hint="default"/>
      </w:rPr>
    </w:lvl>
    <w:lvl w:ilvl="7" w:tplc="D3D4EB40" w:tentative="1">
      <w:start w:val="1"/>
      <w:numFmt w:val="bullet"/>
      <w:lvlText w:val="•"/>
      <w:lvlJc w:val="left"/>
      <w:pPr>
        <w:tabs>
          <w:tab w:val="num" w:pos="5760"/>
        </w:tabs>
        <w:ind w:left="5760" w:hanging="360"/>
      </w:pPr>
      <w:rPr>
        <w:rFonts w:ascii="Arial" w:hAnsi="Arial" w:hint="default"/>
      </w:rPr>
    </w:lvl>
    <w:lvl w:ilvl="8" w:tplc="865E5D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C1063"/>
    <w:multiLevelType w:val="hybridMultilevel"/>
    <w:tmpl w:val="ACE44420"/>
    <w:lvl w:ilvl="0" w:tplc="0B80862A">
      <w:start w:val="1"/>
      <w:numFmt w:val="bullet"/>
      <w:pStyle w:val="ListParagraph"/>
      <w:lvlText w:val=""/>
      <w:lvlJc w:val="left"/>
      <w:pPr>
        <w:ind w:left="720" w:hanging="360"/>
      </w:pPr>
      <w:rPr>
        <w:rFonts w:ascii="Symbol" w:hAnsi="Symbol" w:hint="default"/>
      </w:rPr>
    </w:lvl>
    <w:lvl w:ilvl="1" w:tplc="6F0EF89E">
      <w:start w:val="1"/>
      <w:numFmt w:val="bullet"/>
      <w:lvlText w:val="o"/>
      <w:lvlJc w:val="left"/>
      <w:pPr>
        <w:ind w:left="1440" w:hanging="360"/>
      </w:pPr>
      <w:rPr>
        <w:rFonts w:ascii="Courier New" w:hAnsi="Courier New" w:cs="Courier New" w:hint="default"/>
      </w:rPr>
    </w:lvl>
    <w:lvl w:ilvl="2" w:tplc="4880C1E0">
      <w:start w:val="1"/>
      <w:numFmt w:val="bullet"/>
      <w:lvlText w:val=""/>
      <w:lvlJc w:val="left"/>
      <w:pPr>
        <w:ind w:left="2160" w:hanging="360"/>
      </w:pPr>
      <w:rPr>
        <w:rFonts w:ascii="Wingdings" w:hAnsi="Wingdings" w:hint="default"/>
      </w:rPr>
    </w:lvl>
    <w:lvl w:ilvl="3" w:tplc="3B2C9182">
      <w:start w:val="1"/>
      <w:numFmt w:val="bullet"/>
      <w:lvlText w:val=""/>
      <w:lvlJc w:val="left"/>
      <w:pPr>
        <w:ind w:left="2880" w:hanging="360"/>
      </w:pPr>
      <w:rPr>
        <w:rFonts w:ascii="Symbol" w:hAnsi="Symbol" w:hint="default"/>
      </w:rPr>
    </w:lvl>
    <w:lvl w:ilvl="4" w:tplc="A8A2FE9C">
      <w:start w:val="1"/>
      <w:numFmt w:val="bullet"/>
      <w:lvlText w:val="o"/>
      <w:lvlJc w:val="left"/>
      <w:pPr>
        <w:ind w:left="3600" w:hanging="360"/>
      </w:pPr>
      <w:rPr>
        <w:rFonts w:ascii="Courier New" w:hAnsi="Courier New" w:cs="Courier New" w:hint="default"/>
      </w:rPr>
    </w:lvl>
    <w:lvl w:ilvl="5" w:tplc="413E4FC4" w:tentative="1">
      <w:start w:val="1"/>
      <w:numFmt w:val="bullet"/>
      <w:lvlText w:val=""/>
      <w:lvlJc w:val="left"/>
      <w:pPr>
        <w:ind w:left="4320" w:hanging="360"/>
      </w:pPr>
      <w:rPr>
        <w:rFonts w:ascii="Wingdings" w:hAnsi="Wingdings" w:hint="default"/>
      </w:rPr>
    </w:lvl>
    <w:lvl w:ilvl="6" w:tplc="ACDAA356" w:tentative="1">
      <w:start w:val="1"/>
      <w:numFmt w:val="bullet"/>
      <w:lvlText w:val=""/>
      <w:lvlJc w:val="left"/>
      <w:pPr>
        <w:ind w:left="5040" w:hanging="360"/>
      </w:pPr>
      <w:rPr>
        <w:rFonts w:ascii="Symbol" w:hAnsi="Symbol" w:hint="default"/>
      </w:rPr>
    </w:lvl>
    <w:lvl w:ilvl="7" w:tplc="A4EC6DD0" w:tentative="1">
      <w:start w:val="1"/>
      <w:numFmt w:val="bullet"/>
      <w:lvlText w:val="o"/>
      <w:lvlJc w:val="left"/>
      <w:pPr>
        <w:ind w:left="5760" w:hanging="360"/>
      </w:pPr>
      <w:rPr>
        <w:rFonts w:ascii="Courier New" w:hAnsi="Courier New" w:cs="Courier New" w:hint="default"/>
      </w:rPr>
    </w:lvl>
    <w:lvl w:ilvl="8" w:tplc="3724E3D6" w:tentative="1">
      <w:start w:val="1"/>
      <w:numFmt w:val="bullet"/>
      <w:lvlText w:val=""/>
      <w:lvlJc w:val="left"/>
      <w:pPr>
        <w:ind w:left="6480" w:hanging="360"/>
      </w:pPr>
      <w:rPr>
        <w:rFonts w:ascii="Wingdings" w:hAnsi="Wingdings" w:hint="default"/>
      </w:rPr>
    </w:lvl>
  </w:abstractNum>
  <w:abstractNum w:abstractNumId="14" w15:restartNumberingAfterBreak="0">
    <w:nsid w:val="32535289"/>
    <w:multiLevelType w:val="hybridMultilevel"/>
    <w:tmpl w:val="11DC9296"/>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041D0001">
      <w:start w:val="1"/>
      <w:numFmt w:val="decimal"/>
      <w:lvlText w:val="[%1]"/>
      <w:lvlJc w:val="left"/>
      <w:pPr>
        <w:tabs>
          <w:tab w:val="num" w:pos="360"/>
        </w:tabs>
        <w:ind w:left="357" w:hanging="357"/>
      </w:pPr>
      <w:rPr>
        <w:rFonts w:hint="default"/>
      </w:rPr>
    </w:lvl>
    <w:lvl w:ilvl="1" w:tplc="041D0003" w:tentative="1">
      <w:start w:val="1"/>
      <w:numFmt w:val="lowerLetter"/>
      <w:lvlText w:val="%2."/>
      <w:lvlJc w:val="left"/>
      <w:pPr>
        <w:tabs>
          <w:tab w:val="num" w:pos="1080"/>
        </w:tabs>
        <w:ind w:left="1080" w:hanging="360"/>
      </w:pPr>
    </w:lvl>
    <w:lvl w:ilvl="2" w:tplc="041D0005" w:tentative="1">
      <w:start w:val="1"/>
      <w:numFmt w:val="lowerRoman"/>
      <w:lvlText w:val="%3."/>
      <w:lvlJc w:val="right"/>
      <w:pPr>
        <w:tabs>
          <w:tab w:val="num" w:pos="1800"/>
        </w:tabs>
        <w:ind w:left="1800" w:hanging="180"/>
      </w:pPr>
    </w:lvl>
    <w:lvl w:ilvl="3" w:tplc="041D0001" w:tentative="1">
      <w:start w:val="1"/>
      <w:numFmt w:val="decimal"/>
      <w:lvlText w:val="%4."/>
      <w:lvlJc w:val="left"/>
      <w:pPr>
        <w:tabs>
          <w:tab w:val="num" w:pos="2520"/>
        </w:tabs>
        <w:ind w:left="2520" w:hanging="360"/>
      </w:pPr>
    </w:lvl>
    <w:lvl w:ilvl="4" w:tplc="041D0003" w:tentative="1">
      <w:start w:val="1"/>
      <w:numFmt w:val="lowerLetter"/>
      <w:lvlText w:val="%5."/>
      <w:lvlJc w:val="left"/>
      <w:pPr>
        <w:tabs>
          <w:tab w:val="num" w:pos="3240"/>
        </w:tabs>
        <w:ind w:left="3240" w:hanging="360"/>
      </w:pPr>
    </w:lvl>
    <w:lvl w:ilvl="5" w:tplc="041D0005" w:tentative="1">
      <w:start w:val="1"/>
      <w:numFmt w:val="lowerRoman"/>
      <w:lvlText w:val="%6."/>
      <w:lvlJc w:val="right"/>
      <w:pPr>
        <w:tabs>
          <w:tab w:val="num" w:pos="3960"/>
        </w:tabs>
        <w:ind w:left="3960" w:hanging="180"/>
      </w:pPr>
    </w:lvl>
    <w:lvl w:ilvl="6" w:tplc="041D0001" w:tentative="1">
      <w:start w:val="1"/>
      <w:numFmt w:val="decimal"/>
      <w:lvlText w:val="%7."/>
      <w:lvlJc w:val="left"/>
      <w:pPr>
        <w:tabs>
          <w:tab w:val="num" w:pos="4680"/>
        </w:tabs>
        <w:ind w:left="4680" w:hanging="360"/>
      </w:pPr>
    </w:lvl>
    <w:lvl w:ilvl="7" w:tplc="041D0003" w:tentative="1">
      <w:start w:val="1"/>
      <w:numFmt w:val="lowerLetter"/>
      <w:lvlText w:val="%8."/>
      <w:lvlJc w:val="left"/>
      <w:pPr>
        <w:tabs>
          <w:tab w:val="num" w:pos="5400"/>
        </w:tabs>
        <w:ind w:left="5400" w:hanging="360"/>
      </w:pPr>
    </w:lvl>
    <w:lvl w:ilvl="8" w:tplc="041D0005" w:tentative="1">
      <w:start w:val="1"/>
      <w:numFmt w:val="lowerRoman"/>
      <w:lvlText w:val="%9."/>
      <w:lvlJc w:val="right"/>
      <w:pPr>
        <w:tabs>
          <w:tab w:val="num" w:pos="6120"/>
        </w:tabs>
        <w:ind w:left="6120" w:hanging="180"/>
      </w:pPr>
    </w:lvl>
  </w:abstractNum>
  <w:abstractNum w:abstractNumId="16" w15:restartNumberingAfterBreak="0">
    <w:nsid w:val="38096457"/>
    <w:multiLevelType w:val="hybridMultilevel"/>
    <w:tmpl w:val="BF5A54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3F914FE8"/>
    <w:multiLevelType w:val="hybridMultilevel"/>
    <w:tmpl w:val="8ED6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10382"/>
    <w:multiLevelType w:val="hybridMultilevel"/>
    <w:tmpl w:val="E37A477E"/>
    <w:lvl w:ilvl="0" w:tplc="AA4EF412">
      <w:start w:val="1"/>
      <w:numFmt w:val="bullet"/>
      <w:lvlText w:val=""/>
      <w:lvlJc w:val="left"/>
      <w:pPr>
        <w:ind w:left="720" w:hanging="360"/>
      </w:pPr>
      <w:rPr>
        <w:rFonts w:ascii="Wingdings" w:eastAsia="Times New Roman" w:hAnsi="Wingdings"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numFmt w:val="bullet"/>
      <w:lvlText w:val="-"/>
      <w:lvlJc w:val="left"/>
      <w:pPr>
        <w:ind w:left="3960" w:hanging="720"/>
      </w:pPr>
      <w:rPr>
        <w:rFonts w:ascii="Times New Roman" w:eastAsia="Times New Roman" w:hAnsi="Times New Roman" w:cs="Times New Roman"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41F92427"/>
    <w:multiLevelType w:val="hybridMultilevel"/>
    <w:tmpl w:val="36F244B8"/>
    <w:lvl w:ilvl="0" w:tplc="1EF8634E">
      <w:start w:val="1"/>
      <w:numFmt w:val="bullet"/>
      <w:lvlText w:val=""/>
      <w:lvlJc w:val="left"/>
      <w:pPr>
        <w:tabs>
          <w:tab w:val="num" w:pos="360"/>
        </w:tabs>
        <w:ind w:left="360" w:hanging="360"/>
      </w:pPr>
      <w:rPr>
        <w:rFonts w:ascii="Symbol" w:hAnsi="Symbol" w:hint="default"/>
        <w:color w:val="auto"/>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ED2E47C"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496C0736"/>
    <w:multiLevelType w:val="hybridMultilevel"/>
    <w:tmpl w:val="0C9883C0"/>
    <w:lvl w:ilvl="0" w:tplc="04090003">
      <w:start w:val="1"/>
      <w:numFmt w:val="bullet"/>
      <w:lvlText w:val=""/>
      <w:lvlJc w:val="left"/>
      <w:pPr>
        <w:ind w:left="2160" w:hanging="360"/>
      </w:pPr>
      <w:rPr>
        <w:rFonts w:ascii="Symbol" w:hAnsi="Symbo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22" w15:restartNumberingAfterBreak="0">
    <w:nsid w:val="4A38152D"/>
    <w:multiLevelType w:val="hybridMultilevel"/>
    <w:tmpl w:val="3C4C9454"/>
    <w:lvl w:ilvl="0" w:tplc="7CE28CE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4EFB3B64"/>
    <w:multiLevelType w:val="hybridMultilevel"/>
    <w:tmpl w:val="5160279C"/>
    <w:lvl w:ilvl="0" w:tplc="04090011">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3F5"/>
    <w:multiLevelType w:val="hybridMultilevel"/>
    <w:tmpl w:val="5CBAD0E2"/>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C107B"/>
    <w:multiLevelType w:val="hybridMultilevel"/>
    <w:tmpl w:val="DF66D04C"/>
    <w:lvl w:ilvl="0" w:tplc="04090003">
      <w:start w:val="1"/>
      <w:numFmt w:val="decimal"/>
      <w:lvlText w:val="[%1]"/>
      <w:lvlJc w:val="left"/>
      <w:pPr>
        <w:tabs>
          <w:tab w:val="num" w:pos="700"/>
        </w:tabs>
        <w:ind w:left="700" w:hanging="70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3437DE"/>
    <w:multiLevelType w:val="hybridMultilevel"/>
    <w:tmpl w:val="F42280DE"/>
    <w:lvl w:ilvl="0" w:tplc="08D89EDE">
      <w:start w:val="1"/>
      <w:numFmt w:val="bullet"/>
      <w:lvlText w:val=""/>
      <w:lvlJc w:val="left"/>
      <w:pPr>
        <w:ind w:left="342" w:hanging="360"/>
      </w:pPr>
      <w:rPr>
        <w:rFonts w:ascii="Symbol" w:hAnsi="Symbol" w:hint="default"/>
      </w:rPr>
    </w:lvl>
    <w:lvl w:ilvl="1" w:tplc="04090019" w:tentative="1">
      <w:start w:val="1"/>
      <w:numFmt w:val="bullet"/>
      <w:lvlText w:val="o"/>
      <w:lvlJc w:val="left"/>
      <w:pPr>
        <w:ind w:left="1062" w:hanging="360"/>
      </w:pPr>
      <w:rPr>
        <w:rFonts w:ascii="Courier New" w:hAnsi="Courier New" w:cs="Courier New" w:hint="default"/>
      </w:rPr>
    </w:lvl>
    <w:lvl w:ilvl="2" w:tplc="0409001B" w:tentative="1">
      <w:start w:val="1"/>
      <w:numFmt w:val="bullet"/>
      <w:lvlText w:val=""/>
      <w:lvlJc w:val="left"/>
      <w:pPr>
        <w:ind w:left="1782" w:hanging="360"/>
      </w:pPr>
      <w:rPr>
        <w:rFonts w:ascii="Wingdings" w:hAnsi="Wingdings" w:hint="default"/>
      </w:rPr>
    </w:lvl>
    <w:lvl w:ilvl="3" w:tplc="0409000F" w:tentative="1">
      <w:start w:val="1"/>
      <w:numFmt w:val="bullet"/>
      <w:lvlText w:val=""/>
      <w:lvlJc w:val="left"/>
      <w:pPr>
        <w:ind w:left="2502" w:hanging="360"/>
      </w:pPr>
      <w:rPr>
        <w:rFonts w:ascii="Symbol" w:hAnsi="Symbol" w:hint="default"/>
      </w:rPr>
    </w:lvl>
    <w:lvl w:ilvl="4" w:tplc="04090019" w:tentative="1">
      <w:start w:val="1"/>
      <w:numFmt w:val="bullet"/>
      <w:lvlText w:val="o"/>
      <w:lvlJc w:val="left"/>
      <w:pPr>
        <w:ind w:left="3222" w:hanging="360"/>
      </w:pPr>
      <w:rPr>
        <w:rFonts w:ascii="Courier New" w:hAnsi="Courier New" w:cs="Courier New" w:hint="default"/>
      </w:rPr>
    </w:lvl>
    <w:lvl w:ilvl="5" w:tplc="0409001B" w:tentative="1">
      <w:start w:val="1"/>
      <w:numFmt w:val="bullet"/>
      <w:lvlText w:val=""/>
      <w:lvlJc w:val="left"/>
      <w:pPr>
        <w:ind w:left="3942" w:hanging="360"/>
      </w:pPr>
      <w:rPr>
        <w:rFonts w:ascii="Wingdings" w:hAnsi="Wingdings" w:hint="default"/>
      </w:rPr>
    </w:lvl>
    <w:lvl w:ilvl="6" w:tplc="0409000F" w:tentative="1">
      <w:start w:val="1"/>
      <w:numFmt w:val="bullet"/>
      <w:lvlText w:val=""/>
      <w:lvlJc w:val="left"/>
      <w:pPr>
        <w:ind w:left="4662" w:hanging="360"/>
      </w:pPr>
      <w:rPr>
        <w:rFonts w:ascii="Symbol" w:hAnsi="Symbol" w:hint="default"/>
      </w:rPr>
    </w:lvl>
    <w:lvl w:ilvl="7" w:tplc="04090019" w:tentative="1">
      <w:start w:val="1"/>
      <w:numFmt w:val="bullet"/>
      <w:lvlText w:val="o"/>
      <w:lvlJc w:val="left"/>
      <w:pPr>
        <w:ind w:left="5382" w:hanging="360"/>
      </w:pPr>
      <w:rPr>
        <w:rFonts w:ascii="Courier New" w:hAnsi="Courier New" w:cs="Courier New" w:hint="default"/>
      </w:rPr>
    </w:lvl>
    <w:lvl w:ilvl="8" w:tplc="0409001B" w:tentative="1">
      <w:start w:val="1"/>
      <w:numFmt w:val="bullet"/>
      <w:lvlText w:val=""/>
      <w:lvlJc w:val="left"/>
      <w:pPr>
        <w:ind w:left="6102" w:hanging="360"/>
      </w:pPr>
      <w:rPr>
        <w:rFonts w:ascii="Wingdings" w:hAnsi="Wingdings" w:hint="default"/>
      </w:rPr>
    </w:lvl>
  </w:abstractNum>
  <w:abstractNum w:abstractNumId="29" w15:restartNumberingAfterBreak="0">
    <w:nsid w:val="5934697D"/>
    <w:multiLevelType w:val="hybridMultilevel"/>
    <w:tmpl w:val="6464CE8A"/>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F83A82"/>
    <w:multiLevelType w:val="hybridMultilevel"/>
    <w:tmpl w:val="858A8F5A"/>
    <w:lvl w:ilvl="0" w:tplc="04090003">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F051703"/>
    <w:multiLevelType w:val="hybridMultilevel"/>
    <w:tmpl w:val="02002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9E5FA0"/>
    <w:multiLevelType w:val="hybridMultilevel"/>
    <w:tmpl w:val="7D80FBEC"/>
    <w:lvl w:ilvl="0" w:tplc="93DC0AB8">
      <w:start w:val="1"/>
      <w:numFmt w:val="bullet"/>
      <w:lvlText w:val=""/>
      <w:lvlJc w:val="left"/>
      <w:pPr>
        <w:ind w:left="720" w:hanging="360"/>
      </w:pPr>
      <w:rPr>
        <w:rFonts w:ascii="Wingdings" w:eastAsia="Times New Roman" w:hAnsi="Wingdings" w:cs="Times New Roman" w:hint="default"/>
      </w:rPr>
    </w:lvl>
    <w:lvl w:ilvl="1" w:tplc="4162974E"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656066BF"/>
    <w:multiLevelType w:val="hybridMultilevel"/>
    <w:tmpl w:val="67BC13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C1435A"/>
    <w:multiLevelType w:val="hybridMultilevel"/>
    <w:tmpl w:val="3A9CE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3A0ECA"/>
    <w:multiLevelType w:val="hybridMultilevel"/>
    <w:tmpl w:val="295AB8A2"/>
    <w:lvl w:ilvl="0" w:tplc="1EF86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756"/>
        </w:tabs>
        <w:ind w:left="75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3525148"/>
    <w:multiLevelType w:val="hybridMultilevel"/>
    <w:tmpl w:val="045218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8DB3483"/>
    <w:multiLevelType w:val="hybridMultilevel"/>
    <w:tmpl w:val="79066F88"/>
    <w:lvl w:ilvl="0" w:tplc="B560A81C">
      <w:numFmt w:val="bullet"/>
      <w:lvlText w:val="•"/>
      <w:lvlJc w:val="left"/>
      <w:pPr>
        <w:ind w:left="1080" w:hanging="720"/>
      </w:pPr>
      <w:rPr>
        <w:rFonts w:ascii="Times New Roman" w:eastAsia="Times New Roman" w:hAnsi="Times New Roman" w:cs="Times New Roman" w:hint="default"/>
      </w:rPr>
    </w:lvl>
    <w:lvl w:ilvl="1" w:tplc="B76EA1B0" w:tentative="1">
      <w:start w:val="1"/>
      <w:numFmt w:val="bullet"/>
      <w:lvlText w:val="o"/>
      <w:lvlJc w:val="left"/>
      <w:pPr>
        <w:ind w:left="1440" w:hanging="360"/>
      </w:pPr>
      <w:rPr>
        <w:rFonts w:ascii="Courier New" w:hAnsi="Courier New" w:cs="Courier New" w:hint="default"/>
      </w:rPr>
    </w:lvl>
    <w:lvl w:ilvl="2" w:tplc="72DA7570" w:tentative="1">
      <w:start w:val="1"/>
      <w:numFmt w:val="bullet"/>
      <w:lvlText w:val=""/>
      <w:lvlJc w:val="left"/>
      <w:pPr>
        <w:ind w:left="2160" w:hanging="360"/>
      </w:pPr>
      <w:rPr>
        <w:rFonts w:ascii="Wingdings" w:hAnsi="Wingdings" w:hint="default"/>
      </w:rPr>
    </w:lvl>
    <w:lvl w:ilvl="3" w:tplc="EDBCF7BC" w:tentative="1">
      <w:start w:val="1"/>
      <w:numFmt w:val="bullet"/>
      <w:lvlText w:val=""/>
      <w:lvlJc w:val="left"/>
      <w:pPr>
        <w:ind w:left="2880" w:hanging="360"/>
      </w:pPr>
      <w:rPr>
        <w:rFonts w:ascii="Symbol" w:hAnsi="Symbol" w:hint="default"/>
      </w:rPr>
    </w:lvl>
    <w:lvl w:ilvl="4" w:tplc="6AC8F652" w:tentative="1">
      <w:start w:val="1"/>
      <w:numFmt w:val="bullet"/>
      <w:lvlText w:val="o"/>
      <w:lvlJc w:val="left"/>
      <w:pPr>
        <w:ind w:left="3600" w:hanging="360"/>
      </w:pPr>
      <w:rPr>
        <w:rFonts w:ascii="Courier New" w:hAnsi="Courier New" w:cs="Courier New" w:hint="default"/>
      </w:rPr>
    </w:lvl>
    <w:lvl w:ilvl="5" w:tplc="691A6484" w:tentative="1">
      <w:start w:val="1"/>
      <w:numFmt w:val="bullet"/>
      <w:lvlText w:val=""/>
      <w:lvlJc w:val="left"/>
      <w:pPr>
        <w:ind w:left="4320" w:hanging="360"/>
      </w:pPr>
      <w:rPr>
        <w:rFonts w:ascii="Wingdings" w:hAnsi="Wingdings" w:hint="default"/>
      </w:rPr>
    </w:lvl>
    <w:lvl w:ilvl="6" w:tplc="ABAA245E" w:tentative="1">
      <w:start w:val="1"/>
      <w:numFmt w:val="bullet"/>
      <w:lvlText w:val=""/>
      <w:lvlJc w:val="left"/>
      <w:pPr>
        <w:ind w:left="5040" w:hanging="360"/>
      </w:pPr>
      <w:rPr>
        <w:rFonts w:ascii="Symbol" w:hAnsi="Symbol" w:hint="default"/>
      </w:rPr>
    </w:lvl>
    <w:lvl w:ilvl="7" w:tplc="6B9A7C90" w:tentative="1">
      <w:start w:val="1"/>
      <w:numFmt w:val="bullet"/>
      <w:lvlText w:val="o"/>
      <w:lvlJc w:val="left"/>
      <w:pPr>
        <w:ind w:left="5760" w:hanging="360"/>
      </w:pPr>
      <w:rPr>
        <w:rFonts w:ascii="Courier New" w:hAnsi="Courier New" w:cs="Courier New" w:hint="default"/>
      </w:rPr>
    </w:lvl>
    <w:lvl w:ilvl="8" w:tplc="35602D58" w:tentative="1">
      <w:start w:val="1"/>
      <w:numFmt w:val="bullet"/>
      <w:lvlText w:val=""/>
      <w:lvlJc w:val="left"/>
      <w:pPr>
        <w:ind w:left="6480" w:hanging="360"/>
      </w:pPr>
      <w:rPr>
        <w:rFonts w:ascii="Wingdings" w:hAnsi="Wingdings" w:hint="default"/>
      </w:rPr>
    </w:lvl>
  </w:abstractNum>
  <w:abstractNum w:abstractNumId="40" w15:restartNumberingAfterBreak="0">
    <w:nsid w:val="7AD4608E"/>
    <w:multiLevelType w:val="hybridMultilevel"/>
    <w:tmpl w:val="5100CAF4"/>
    <w:lvl w:ilvl="0" w:tplc="AB1823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694C62"/>
    <w:multiLevelType w:val="hybridMultilevel"/>
    <w:tmpl w:val="03760C28"/>
    <w:lvl w:ilvl="0" w:tplc="C26C1C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25"/>
  </w:num>
  <w:num w:numId="4">
    <w:abstractNumId w:val="20"/>
  </w:num>
  <w:num w:numId="5">
    <w:abstractNumId w:val="29"/>
  </w:num>
  <w:num w:numId="6">
    <w:abstractNumId w:val="6"/>
  </w:num>
  <w:num w:numId="7">
    <w:abstractNumId w:val="26"/>
  </w:num>
  <w:num w:numId="8">
    <w:abstractNumId w:val="15"/>
  </w:num>
  <w:num w:numId="9">
    <w:abstractNumId w:val="1"/>
  </w:num>
  <w:num w:numId="10">
    <w:abstractNumId w:val="31"/>
  </w:num>
  <w:num w:numId="11">
    <w:abstractNumId w:val="11"/>
  </w:num>
  <w:num w:numId="12">
    <w:abstractNumId w:val="41"/>
  </w:num>
  <w:num w:numId="13">
    <w:abstractNumId w:val="28"/>
  </w:num>
  <w:num w:numId="14">
    <w:abstractNumId w:val="30"/>
  </w:num>
  <w:num w:numId="15">
    <w:abstractNumId w:val="21"/>
  </w:num>
  <w:num w:numId="16">
    <w:abstractNumId w:val="12"/>
  </w:num>
  <w:num w:numId="17">
    <w:abstractNumId w:val="24"/>
  </w:num>
  <w:num w:numId="18">
    <w:abstractNumId w:val="4"/>
  </w:num>
  <w:num w:numId="19">
    <w:abstractNumId w:val="9"/>
  </w:num>
  <w:num w:numId="20">
    <w:abstractNumId w:val="39"/>
  </w:num>
  <w:num w:numId="21">
    <w:abstractNumId w:val="19"/>
  </w:num>
  <w:num w:numId="22">
    <w:abstractNumId w:val="33"/>
  </w:num>
  <w:num w:numId="23">
    <w:abstractNumId w:val="23"/>
  </w:num>
  <w:num w:numId="24">
    <w:abstractNumId w:val="2"/>
  </w:num>
  <w:num w:numId="25">
    <w:abstractNumId w:val="36"/>
  </w:num>
  <w:num w:numId="26">
    <w:abstractNumId w:val="40"/>
  </w:num>
  <w:num w:numId="27">
    <w:abstractNumId w:val="13"/>
  </w:num>
  <w:num w:numId="28">
    <w:abstractNumId w:val="14"/>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22"/>
  </w:num>
  <w:num w:numId="32">
    <w:abstractNumId w:val="7"/>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
  </w:num>
  <w:num w:numId="35">
    <w:abstractNumId w:val="35"/>
  </w:num>
  <w:num w:numId="36">
    <w:abstractNumId w:val="10"/>
  </w:num>
  <w:num w:numId="37">
    <w:abstractNumId w:val="32"/>
  </w:num>
  <w:num w:numId="38">
    <w:abstractNumId w:val="38"/>
  </w:num>
  <w:num w:numId="39">
    <w:abstractNumId w:val="5"/>
  </w:num>
  <w:num w:numId="40">
    <w:abstractNumId w:val="3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487C"/>
    <w:rsid w:val="0000489F"/>
    <w:rsid w:val="00004D19"/>
    <w:rsid w:val="000078DA"/>
    <w:rsid w:val="00010BA7"/>
    <w:rsid w:val="00010C87"/>
    <w:rsid w:val="000120C8"/>
    <w:rsid w:val="000131C2"/>
    <w:rsid w:val="00013217"/>
    <w:rsid w:val="00013CA7"/>
    <w:rsid w:val="0001413D"/>
    <w:rsid w:val="00014178"/>
    <w:rsid w:val="00014ADA"/>
    <w:rsid w:val="00015F9B"/>
    <w:rsid w:val="00016F57"/>
    <w:rsid w:val="000201E0"/>
    <w:rsid w:val="0002021D"/>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B2D"/>
    <w:rsid w:val="000345F8"/>
    <w:rsid w:val="00034BC5"/>
    <w:rsid w:val="00034D78"/>
    <w:rsid w:val="000352D4"/>
    <w:rsid w:val="00037254"/>
    <w:rsid w:val="0003735F"/>
    <w:rsid w:val="00037982"/>
    <w:rsid w:val="00037C21"/>
    <w:rsid w:val="000404A1"/>
    <w:rsid w:val="00041093"/>
    <w:rsid w:val="0004195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44"/>
    <w:rsid w:val="000607A2"/>
    <w:rsid w:val="00060EB6"/>
    <w:rsid w:val="00060F9F"/>
    <w:rsid w:val="00061186"/>
    <w:rsid w:val="0006121E"/>
    <w:rsid w:val="00061268"/>
    <w:rsid w:val="000622CA"/>
    <w:rsid w:val="000637F4"/>
    <w:rsid w:val="00065009"/>
    <w:rsid w:val="000650FF"/>
    <w:rsid w:val="00065C64"/>
    <w:rsid w:val="00065D8F"/>
    <w:rsid w:val="00066530"/>
    <w:rsid w:val="000666AD"/>
    <w:rsid w:val="00070BB5"/>
    <w:rsid w:val="00071678"/>
    <w:rsid w:val="00071A12"/>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4810"/>
    <w:rsid w:val="00085966"/>
    <w:rsid w:val="00086035"/>
    <w:rsid w:val="000861DB"/>
    <w:rsid w:val="0008700E"/>
    <w:rsid w:val="00087C0A"/>
    <w:rsid w:val="0009054F"/>
    <w:rsid w:val="00091B10"/>
    <w:rsid w:val="00091B15"/>
    <w:rsid w:val="00092139"/>
    <w:rsid w:val="00092923"/>
    <w:rsid w:val="000934ED"/>
    <w:rsid w:val="00093DD4"/>
    <w:rsid w:val="000950DF"/>
    <w:rsid w:val="00095DAD"/>
    <w:rsid w:val="0009656C"/>
    <w:rsid w:val="00096785"/>
    <w:rsid w:val="00096B60"/>
    <w:rsid w:val="00096D90"/>
    <w:rsid w:val="000970F7"/>
    <w:rsid w:val="000972F7"/>
    <w:rsid w:val="00097DFA"/>
    <w:rsid w:val="000A0479"/>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43CA"/>
    <w:rsid w:val="000C698C"/>
    <w:rsid w:val="000C7967"/>
    <w:rsid w:val="000C7C5E"/>
    <w:rsid w:val="000D036C"/>
    <w:rsid w:val="000D082C"/>
    <w:rsid w:val="000D0DA9"/>
    <w:rsid w:val="000D0F6D"/>
    <w:rsid w:val="000D132E"/>
    <w:rsid w:val="000D151D"/>
    <w:rsid w:val="000D154D"/>
    <w:rsid w:val="000D332D"/>
    <w:rsid w:val="000D3670"/>
    <w:rsid w:val="000D459E"/>
    <w:rsid w:val="000D4CE7"/>
    <w:rsid w:val="000D53E4"/>
    <w:rsid w:val="000D53EC"/>
    <w:rsid w:val="000D589B"/>
    <w:rsid w:val="000D64B5"/>
    <w:rsid w:val="000D64BF"/>
    <w:rsid w:val="000D6F73"/>
    <w:rsid w:val="000D79ED"/>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7F2"/>
    <w:rsid w:val="00106987"/>
    <w:rsid w:val="00106C21"/>
    <w:rsid w:val="00107384"/>
    <w:rsid w:val="001074F6"/>
    <w:rsid w:val="001078A2"/>
    <w:rsid w:val="001112A2"/>
    <w:rsid w:val="001112C1"/>
    <w:rsid w:val="00111CAD"/>
    <w:rsid w:val="001135F7"/>
    <w:rsid w:val="00113952"/>
    <w:rsid w:val="00113B46"/>
    <w:rsid w:val="0011491A"/>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0C68"/>
    <w:rsid w:val="001410FB"/>
    <w:rsid w:val="00141AA8"/>
    <w:rsid w:val="00141B2E"/>
    <w:rsid w:val="0014231E"/>
    <w:rsid w:val="0014288F"/>
    <w:rsid w:val="00143DC4"/>
    <w:rsid w:val="001441AA"/>
    <w:rsid w:val="001445A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ECA"/>
    <w:rsid w:val="00153071"/>
    <w:rsid w:val="00153B33"/>
    <w:rsid w:val="001549B9"/>
    <w:rsid w:val="00154E97"/>
    <w:rsid w:val="0015527C"/>
    <w:rsid w:val="001555BB"/>
    <w:rsid w:val="00155604"/>
    <w:rsid w:val="001559DB"/>
    <w:rsid w:val="00156272"/>
    <w:rsid w:val="00156F7B"/>
    <w:rsid w:val="00157214"/>
    <w:rsid w:val="0015782D"/>
    <w:rsid w:val="00157C34"/>
    <w:rsid w:val="00160789"/>
    <w:rsid w:val="00161247"/>
    <w:rsid w:val="00163FC4"/>
    <w:rsid w:val="00164169"/>
    <w:rsid w:val="00164E94"/>
    <w:rsid w:val="00165149"/>
    <w:rsid w:val="001662CB"/>
    <w:rsid w:val="0016760A"/>
    <w:rsid w:val="00167C76"/>
    <w:rsid w:val="001706E4"/>
    <w:rsid w:val="00170A71"/>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CF2"/>
    <w:rsid w:val="00187F6A"/>
    <w:rsid w:val="00190969"/>
    <w:rsid w:val="00191395"/>
    <w:rsid w:val="00191B39"/>
    <w:rsid w:val="00192116"/>
    <w:rsid w:val="0019216A"/>
    <w:rsid w:val="00192E19"/>
    <w:rsid w:val="00194ECD"/>
    <w:rsid w:val="00195D95"/>
    <w:rsid w:val="0019604E"/>
    <w:rsid w:val="001969E1"/>
    <w:rsid w:val="00196B43"/>
    <w:rsid w:val="00196CCF"/>
    <w:rsid w:val="00196CE8"/>
    <w:rsid w:val="00197266"/>
    <w:rsid w:val="00197C25"/>
    <w:rsid w:val="001A0EAA"/>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73D"/>
    <w:rsid w:val="001A782E"/>
    <w:rsid w:val="001B02DA"/>
    <w:rsid w:val="001B053E"/>
    <w:rsid w:val="001B15F3"/>
    <w:rsid w:val="001B17DF"/>
    <w:rsid w:val="001B21F4"/>
    <w:rsid w:val="001B26E4"/>
    <w:rsid w:val="001B3CE1"/>
    <w:rsid w:val="001B413B"/>
    <w:rsid w:val="001B4220"/>
    <w:rsid w:val="001B5DF1"/>
    <w:rsid w:val="001B6721"/>
    <w:rsid w:val="001B68AC"/>
    <w:rsid w:val="001B6C51"/>
    <w:rsid w:val="001B78B8"/>
    <w:rsid w:val="001C0E12"/>
    <w:rsid w:val="001C1EB3"/>
    <w:rsid w:val="001C2045"/>
    <w:rsid w:val="001C28F2"/>
    <w:rsid w:val="001C3BF8"/>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5E0E"/>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86"/>
    <w:rsid w:val="002247C5"/>
    <w:rsid w:val="0022511B"/>
    <w:rsid w:val="00225154"/>
    <w:rsid w:val="00225372"/>
    <w:rsid w:val="002253F5"/>
    <w:rsid w:val="00225F9A"/>
    <w:rsid w:val="00226338"/>
    <w:rsid w:val="00226B71"/>
    <w:rsid w:val="00226C90"/>
    <w:rsid w:val="00226E7E"/>
    <w:rsid w:val="00227888"/>
    <w:rsid w:val="00227EA9"/>
    <w:rsid w:val="00227F44"/>
    <w:rsid w:val="00230EBD"/>
    <w:rsid w:val="0023184B"/>
    <w:rsid w:val="00231AEA"/>
    <w:rsid w:val="00231C5A"/>
    <w:rsid w:val="00232144"/>
    <w:rsid w:val="002325E4"/>
    <w:rsid w:val="002330C8"/>
    <w:rsid w:val="002334B1"/>
    <w:rsid w:val="002335B7"/>
    <w:rsid w:val="00233E9F"/>
    <w:rsid w:val="00233F0C"/>
    <w:rsid w:val="002347BC"/>
    <w:rsid w:val="0023499A"/>
    <w:rsid w:val="00234C7B"/>
    <w:rsid w:val="0023534F"/>
    <w:rsid w:val="00235EC3"/>
    <w:rsid w:val="0023622D"/>
    <w:rsid w:val="00236892"/>
    <w:rsid w:val="002374F3"/>
    <w:rsid w:val="00237729"/>
    <w:rsid w:val="0023786D"/>
    <w:rsid w:val="0024087B"/>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3C0F"/>
    <w:rsid w:val="002547A8"/>
    <w:rsid w:val="002558F6"/>
    <w:rsid w:val="002564A3"/>
    <w:rsid w:val="00257D9A"/>
    <w:rsid w:val="0026117E"/>
    <w:rsid w:val="0026134A"/>
    <w:rsid w:val="00261AEA"/>
    <w:rsid w:val="00261B0B"/>
    <w:rsid w:val="00262599"/>
    <w:rsid w:val="002629FE"/>
    <w:rsid w:val="00262C60"/>
    <w:rsid w:val="00262E0D"/>
    <w:rsid w:val="002631DE"/>
    <w:rsid w:val="00264038"/>
    <w:rsid w:val="002645A3"/>
    <w:rsid w:val="00264D58"/>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4667"/>
    <w:rsid w:val="00275105"/>
    <w:rsid w:val="00276A67"/>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12A"/>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6600"/>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C7923"/>
    <w:rsid w:val="002D02EA"/>
    <w:rsid w:val="002D057E"/>
    <w:rsid w:val="002D2AD9"/>
    <w:rsid w:val="002D39EA"/>
    <w:rsid w:val="002D40C2"/>
    <w:rsid w:val="002D44EE"/>
    <w:rsid w:val="002D494E"/>
    <w:rsid w:val="002D4CEA"/>
    <w:rsid w:val="002D526E"/>
    <w:rsid w:val="002D5B5F"/>
    <w:rsid w:val="002D5EB2"/>
    <w:rsid w:val="002D68E9"/>
    <w:rsid w:val="002D6989"/>
    <w:rsid w:val="002D6AB8"/>
    <w:rsid w:val="002D6AD9"/>
    <w:rsid w:val="002D6C4D"/>
    <w:rsid w:val="002D75DA"/>
    <w:rsid w:val="002D7971"/>
    <w:rsid w:val="002D7FC0"/>
    <w:rsid w:val="002E0511"/>
    <w:rsid w:val="002E06D3"/>
    <w:rsid w:val="002E144F"/>
    <w:rsid w:val="002E1C65"/>
    <w:rsid w:val="002E1D98"/>
    <w:rsid w:val="002E271A"/>
    <w:rsid w:val="002E3103"/>
    <w:rsid w:val="002E37C4"/>
    <w:rsid w:val="002E4AD5"/>
    <w:rsid w:val="002E4BAD"/>
    <w:rsid w:val="002E4E6E"/>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16C"/>
    <w:rsid w:val="002F4BD9"/>
    <w:rsid w:val="002F4CC8"/>
    <w:rsid w:val="002F4E88"/>
    <w:rsid w:val="002F5128"/>
    <w:rsid w:val="002F56F7"/>
    <w:rsid w:val="002F5EAC"/>
    <w:rsid w:val="002F6049"/>
    <w:rsid w:val="002F73D1"/>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314"/>
    <w:rsid w:val="003367A7"/>
    <w:rsid w:val="00336813"/>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150"/>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2ED"/>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6DC4"/>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37F1"/>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7AD"/>
    <w:rsid w:val="003E3CF4"/>
    <w:rsid w:val="003E4905"/>
    <w:rsid w:val="003E4B49"/>
    <w:rsid w:val="003E6181"/>
    <w:rsid w:val="003E6FC2"/>
    <w:rsid w:val="003E7145"/>
    <w:rsid w:val="003E7605"/>
    <w:rsid w:val="003E7C06"/>
    <w:rsid w:val="003F28B5"/>
    <w:rsid w:val="003F3CE9"/>
    <w:rsid w:val="003F3E17"/>
    <w:rsid w:val="003F5E6A"/>
    <w:rsid w:val="003F6DA0"/>
    <w:rsid w:val="0040000F"/>
    <w:rsid w:val="004007DB"/>
    <w:rsid w:val="004012E3"/>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850"/>
    <w:rsid w:val="00437AE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22"/>
    <w:rsid w:val="00455BB6"/>
    <w:rsid w:val="00455CD6"/>
    <w:rsid w:val="0045679F"/>
    <w:rsid w:val="00456B14"/>
    <w:rsid w:val="00461270"/>
    <w:rsid w:val="0046172F"/>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873"/>
    <w:rsid w:val="00473907"/>
    <w:rsid w:val="00473E21"/>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5DA5"/>
    <w:rsid w:val="00486044"/>
    <w:rsid w:val="00486418"/>
    <w:rsid w:val="00487418"/>
    <w:rsid w:val="004874D0"/>
    <w:rsid w:val="00487870"/>
    <w:rsid w:val="00487A71"/>
    <w:rsid w:val="00487C62"/>
    <w:rsid w:val="0049028D"/>
    <w:rsid w:val="0049097B"/>
    <w:rsid w:val="004910FE"/>
    <w:rsid w:val="00491988"/>
    <w:rsid w:val="00492065"/>
    <w:rsid w:val="00492F06"/>
    <w:rsid w:val="00493FF6"/>
    <w:rsid w:val="00494637"/>
    <w:rsid w:val="004950A0"/>
    <w:rsid w:val="00495234"/>
    <w:rsid w:val="004958F2"/>
    <w:rsid w:val="00495D9B"/>
    <w:rsid w:val="00495EC6"/>
    <w:rsid w:val="004964F6"/>
    <w:rsid w:val="004967D6"/>
    <w:rsid w:val="00496C20"/>
    <w:rsid w:val="0049782C"/>
    <w:rsid w:val="00497C15"/>
    <w:rsid w:val="004A019B"/>
    <w:rsid w:val="004A0694"/>
    <w:rsid w:val="004A26C1"/>
    <w:rsid w:val="004A2C63"/>
    <w:rsid w:val="004A33B3"/>
    <w:rsid w:val="004A41D0"/>
    <w:rsid w:val="004A4F27"/>
    <w:rsid w:val="004A635A"/>
    <w:rsid w:val="004A6FAE"/>
    <w:rsid w:val="004A7119"/>
    <w:rsid w:val="004A7A25"/>
    <w:rsid w:val="004B0CB7"/>
    <w:rsid w:val="004B0FDA"/>
    <w:rsid w:val="004B1172"/>
    <w:rsid w:val="004B120C"/>
    <w:rsid w:val="004B231D"/>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569C"/>
    <w:rsid w:val="004C642D"/>
    <w:rsid w:val="004C6FEA"/>
    <w:rsid w:val="004C7DE1"/>
    <w:rsid w:val="004C7E4B"/>
    <w:rsid w:val="004D0301"/>
    <w:rsid w:val="004D033F"/>
    <w:rsid w:val="004D05F1"/>
    <w:rsid w:val="004D0AA5"/>
    <w:rsid w:val="004D134F"/>
    <w:rsid w:val="004D16A9"/>
    <w:rsid w:val="004D189F"/>
    <w:rsid w:val="004D1A11"/>
    <w:rsid w:val="004D211D"/>
    <w:rsid w:val="004D2397"/>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5652"/>
    <w:rsid w:val="00516E17"/>
    <w:rsid w:val="005179B3"/>
    <w:rsid w:val="005200A5"/>
    <w:rsid w:val="005208A0"/>
    <w:rsid w:val="00522609"/>
    <w:rsid w:val="0052331D"/>
    <w:rsid w:val="00525D10"/>
    <w:rsid w:val="00525E53"/>
    <w:rsid w:val="005262FB"/>
    <w:rsid w:val="00527F89"/>
    <w:rsid w:val="005306F3"/>
    <w:rsid w:val="0053088B"/>
    <w:rsid w:val="00531143"/>
    <w:rsid w:val="0053156B"/>
    <w:rsid w:val="00533880"/>
    <w:rsid w:val="00533F13"/>
    <w:rsid w:val="005361C3"/>
    <w:rsid w:val="00537037"/>
    <w:rsid w:val="0053722E"/>
    <w:rsid w:val="0053760B"/>
    <w:rsid w:val="00540715"/>
    <w:rsid w:val="005408B3"/>
    <w:rsid w:val="00540AE8"/>
    <w:rsid w:val="00540C28"/>
    <w:rsid w:val="0054215C"/>
    <w:rsid w:val="005428F3"/>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071"/>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677B1"/>
    <w:rsid w:val="00570507"/>
    <w:rsid w:val="00570525"/>
    <w:rsid w:val="0057157D"/>
    <w:rsid w:val="00571B7E"/>
    <w:rsid w:val="00571D60"/>
    <w:rsid w:val="00572674"/>
    <w:rsid w:val="00573448"/>
    <w:rsid w:val="0057382D"/>
    <w:rsid w:val="00574A78"/>
    <w:rsid w:val="00575571"/>
    <w:rsid w:val="00575F60"/>
    <w:rsid w:val="0057739B"/>
    <w:rsid w:val="00577B82"/>
    <w:rsid w:val="00580714"/>
    <w:rsid w:val="00581A59"/>
    <w:rsid w:val="00581A94"/>
    <w:rsid w:val="00582249"/>
    <w:rsid w:val="005834C5"/>
    <w:rsid w:val="005834F6"/>
    <w:rsid w:val="00583AF2"/>
    <w:rsid w:val="005845C9"/>
    <w:rsid w:val="00584CE8"/>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661"/>
    <w:rsid w:val="00594BC0"/>
    <w:rsid w:val="0059574F"/>
    <w:rsid w:val="00595840"/>
    <w:rsid w:val="0059619D"/>
    <w:rsid w:val="0059746F"/>
    <w:rsid w:val="0059764B"/>
    <w:rsid w:val="00597E09"/>
    <w:rsid w:val="005A07A9"/>
    <w:rsid w:val="005A0A2F"/>
    <w:rsid w:val="005A20BF"/>
    <w:rsid w:val="005A2111"/>
    <w:rsid w:val="005A31FD"/>
    <w:rsid w:val="005A4234"/>
    <w:rsid w:val="005A4432"/>
    <w:rsid w:val="005A4F03"/>
    <w:rsid w:val="005A5BC1"/>
    <w:rsid w:val="005A5E49"/>
    <w:rsid w:val="005A67AF"/>
    <w:rsid w:val="005A7AE4"/>
    <w:rsid w:val="005A7E2E"/>
    <w:rsid w:val="005B06B3"/>
    <w:rsid w:val="005B30DC"/>
    <w:rsid w:val="005B456F"/>
    <w:rsid w:val="005B5E13"/>
    <w:rsid w:val="005B61E8"/>
    <w:rsid w:val="005B6285"/>
    <w:rsid w:val="005B6BE0"/>
    <w:rsid w:val="005B76DB"/>
    <w:rsid w:val="005B7C6B"/>
    <w:rsid w:val="005B7F4C"/>
    <w:rsid w:val="005C03CC"/>
    <w:rsid w:val="005C13AA"/>
    <w:rsid w:val="005C2103"/>
    <w:rsid w:val="005C2158"/>
    <w:rsid w:val="005C2664"/>
    <w:rsid w:val="005C26E2"/>
    <w:rsid w:val="005C2CF0"/>
    <w:rsid w:val="005C395C"/>
    <w:rsid w:val="005C3C6B"/>
    <w:rsid w:val="005C41A5"/>
    <w:rsid w:val="005C5555"/>
    <w:rsid w:val="005C5AD4"/>
    <w:rsid w:val="005C6245"/>
    <w:rsid w:val="005C7406"/>
    <w:rsid w:val="005D01EC"/>
    <w:rsid w:val="005D08C4"/>
    <w:rsid w:val="005D0A44"/>
    <w:rsid w:val="005D0B1A"/>
    <w:rsid w:val="005D0D84"/>
    <w:rsid w:val="005D1B6A"/>
    <w:rsid w:val="005D1BD0"/>
    <w:rsid w:val="005D23BC"/>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499"/>
    <w:rsid w:val="005F487E"/>
    <w:rsid w:val="005F5734"/>
    <w:rsid w:val="005F5865"/>
    <w:rsid w:val="005F6345"/>
    <w:rsid w:val="005F769F"/>
    <w:rsid w:val="00600EF6"/>
    <w:rsid w:val="006014C3"/>
    <w:rsid w:val="00601695"/>
    <w:rsid w:val="00601F69"/>
    <w:rsid w:val="00603872"/>
    <w:rsid w:val="006039CF"/>
    <w:rsid w:val="0060400A"/>
    <w:rsid w:val="00604685"/>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1AB6"/>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67A54"/>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688"/>
    <w:rsid w:val="0069779C"/>
    <w:rsid w:val="006A168A"/>
    <w:rsid w:val="006A188C"/>
    <w:rsid w:val="006A1E50"/>
    <w:rsid w:val="006A1EF8"/>
    <w:rsid w:val="006A2322"/>
    <w:rsid w:val="006A24B5"/>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0D78"/>
    <w:rsid w:val="006F1E2A"/>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5AB"/>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5FA"/>
    <w:rsid w:val="00722933"/>
    <w:rsid w:val="00724B87"/>
    <w:rsid w:val="007255A8"/>
    <w:rsid w:val="00725EA0"/>
    <w:rsid w:val="007260F3"/>
    <w:rsid w:val="0072734B"/>
    <w:rsid w:val="00727BD8"/>
    <w:rsid w:val="00730445"/>
    <w:rsid w:val="00730B39"/>
    <w:rsid w:val="007315C9"/>
    <w:rsid w:val="00731A88"/>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3E87"/>
    <w:rsid w:val="00744092"/>
    <w:rsid w:val="00745383"/>
    <w:rsid w:val="00745EA9"/>
    <w:rsid w:val="00745F5A"/>
    <w:rsid w:val="00746204"/>
    <w:rsid w:val="007466FD"/>
    <w:rsid w:val="00746AAC"/>
    <w:rsid w:val="007504FE"/>
    <w:rsid w:val="0075154F"/>
    <w:rsid w:val="00751E97"/>
    <w:rsid w:val="0075249E"/>
    <w:rsid w:val="0075386D"/>
    <w:rsid w:val="00753E48"/>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1C3B"/>
    <w:rsid w:val="00772293"/>
    <w:rsid w:val="0077264B"/>
    <w:rsid w:val="00772CE9"/>
    <w:rsid w:val="00774180"/>
    <w:rsid w:val="00774C91"/>
    <w:rsid w:val="007756F4"/>
    <w:rsid w:val="00775779"/>
    <w:rsid w:val="00775F5F"/>
    <w:rsid w:val="00776FDC"/>
    <w:rsid w:val="00777198"/>
    <w:rsid w:val="00777711"/>
    <w:rsid w:val="00777BB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D5"/>
    <w:rsid w:val="00790BA0"/>
    <w:rsid w:val="007911D8"/>
    <w:rsid w:val="007915EB"/>
    <w:rsid w:val="00792B60"/>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4C7"/>
    <w:rsid w:val="007D360B"/>
    <w:rsid w:val="007D4D2F"/>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1796"/>
    <w:rsid w:val="007F234F"/>
    <w:rsid w:val="007F26C8"/>
    <w:rsid w:val="007F2BD0"/>
    <w:rsid w:val="007F2CA6"/>
    <w:rsid w:val="007F2F93"/>
    <w:rsid w:val="007F2FC6"/>
    <w:rsid w:val="007F353E"/>
    <w:rsid w:val="007F5A52"/>
    <w:rsid w:val="007F7E54"/>
    <w:rsid w:val="0080055A"/>
    <w:rsid w:val="00800D7B"/>
    <w:rsid w:val="00801B55"/>
    <w:rsid w:val="00802329"/>
    <w:rsid w:val="008027BB"/>
    <w:rsid w:val="00803063"/>
    <w:rsid w:val="00803194"/>
    <w:rsid w:val="00803228"/>
    <w:rsid w:val="00804A75"/>
    <w:rsid w:val="008060D2"/>
    <w:rsid w:val="00806328"/>
    <w:rsid w:val="00806678"/>
    <w:rsid w:val="00806E52"/>
    <w:rsid w:val="008070D8"/>
    <w:rsid w:val="0080734C"/>
    <w:rsid w:val="00807554"/>
    <w:rsid w:val="00807E42"/>
    <w:rsid w:val="0081016C"/>
    <w:rsid w:val="008108C9"/>
    <w:rsid w:val="00810A1F"/>
    <w:rsid w:val="00810F7F"/>
    <w:rsid w:val="0081127B"/>
    <w:rsid w:val="00811B48"/>
    <w:rsid w:val="00811BF5"/>
    <w:rsid w:val="008129BA"/>
    <w:rsid w:val="00813C60"/>
    <w:rsid w:val="00813D10"/>
    <w:rsid w:val="00813EF5"/>
    <w:rsid w:val="00815909"/>
    <w:rsid w:val="00815E07"/>
    <w:rsid w:val="00816B8C"/>
    <w:rsid w:val="00817622"/>
    <w:rsid w:val="00817C46"/>
    <w:rsid w:val="00817FD7"/>
    <w:rsid w:val="008243DA"/>
    <w:rsid w:val="00824DBC"/>
    <w:rsid w:val="00825109"/>
    <w:rsid w:val="0082680F"/>
    <w:rsid w:val="00826F83"/>
    <w:rsid w:val="008272AC"/>
    <w:rsid w:val="00830191"/>
    <w:rsid w:val="008314A9"/>
    <w:rsid w:val="0083160A"/>
    <w:rsid w:val="00833150"/>
    <w:rsid w:val="008355AD"/>
    <w:rsid w:val="008359B3"/>
    <w:rsid w:val="00835D0A"/>
    <w:rsid w:val="0083609D"/>
    <w:rsid w:val="008365BE"/>
    <w:rsid w:val="0083708D"/>
    <w:rsid w:val="008378AF"/>
    <w:rsid w:val="00837AD0"/>
    <w:rsid w:val="008414B7"/>
    <w:rsid w:val="0084168A"/>
    <w:rsid w:val="00843B6F"/>
    <w:rsid w:val="00843DF8"/>
    <w:rsid w:val="008442A2"/>
    <w:rsid w:val="008442D5"/>
    <w:rsid w:val="0084469C"/>
    <w:rsid w:val="00844B7F"/>
    <w:rsid w:val="00844B8D"/>
    <w:rsid w:val="00844E58"/>
    <w:rsid w:val="00845172"/>
    <w:rsid w:val="0084570F"/>
    <w:rsid w:val="008461EA"/>
    <w:rsid w:val="008462EC"/>
    <w:rsid w:val="0084657A"/>
    <w:rsid w:val="008466C8"/>
    <w:rsid w:val="0084671F"/>
    <w:rsid w:val="00846A57"/>
    <w:rsid w:val="00846A6B"/>
    <w:rsid w:val="00846CA2"/>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795D"/>
    <w:rsid w:val="00867C75"/>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009"/>
    <w:rsid w:val="008861C8"/>
    <w:rsid w:val="00886826"/>
    <w:rsid w:val="00886E7C"/>
    <w:rsid w:val="00886EA6"/>
    <w:rsid w:val="00887162"/>
    <w:rsid w:val="00887889"/>
    <w:rsid w:val="00887CB6"/>
    <w:rsid w:val="00890349"/>
    <w:rsid w:val="00890523"/>
    <w:rsid w:val="008914C8"/>
    <w:rsid w:val="008926B0"/>
    <w:rsid w:val="00892B41"/>
    <w:rsid w:val="00893176"/>
    <w:rsid w:val="00893BE2"/>
    <w:rsid w:val="00894D87"/>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5A7A"/>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8C9"/>
    <w:rsid w:val="008C0F2D"/>
    <w:rsid w:val="008C17FA"/>
    <w:rsid w:val="008C1912"/>
    <w:rsid w:val="008C2221"/>
    <w:rsid w:val="008C26B0"/>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FCE"/>
    <w:rsid w:val="00900E24"/>
    <w:rsid w:val="00900EDA"/>
    <w:rsid w:val="00901068"/>
    <w:rsid w:val="00902C52"/>
    <w:rsid w:val="00902F3A"/>
    <w:rsid w:val="009030E2"/>
    <w:rsid w:val="0090325B"/>
    <w:rsid w:val="00903688"/>
    <w:rsid w:val="00903CEE"/>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5807"/>
    <w:rsid w:val="00946BD7"/>
    <w:rsid w:val="009502DD"/>
    <w:rsid w:val="00950922"/>
    <w:rsid w:val="009509B7"/>
    <w:rsid w:val="00952AD0"/>
    <w:rsid w:val="009536CB"/>
    <w:rsid w:val="00953A36"/>
    <w:rsid w:val="009560D9"/>
    <w:rsid w:val="009560DA"/>
    <w:rsid w:val="00957CAE"/>
    <w:rsid w:val="009604F7"/>
    <w:rsid w:val="00960B63"/>
    <w:rsid w:val="00960E6A"/>
    <w:rsid w:val="00960EA5"/>
    <w:rsid w:val="0096192F"/>
    <w:rsid w:val="0096194A"/>
    <w:rsid w:val="00961AA3"/>
    <w:rsid w:val="00961E54"/>
    <w:rsid w:val="00961F38"/>
    <w:rsid w:val="0096249E"/>
    <w:rsid w:val="00962A30"/>
    <w:rsid w:val="00963412"/>
    <w:rsid w:val="009634F5"/>
    <w:rsid w:val="0096379C"/>
    <w:rsid w:val="00964058"/>
    <w:rsid w:val="00964B7F"/>
    <w:rsid w:val="0096524D"/>
    <w:rsid w:val="00965E64"/>
    <w:rsid w:val="00966510"/>
    <w:rsid w:val="00966659"/>
    <w:rsid w:val="00967011"/>
    <w:rsid w:val="00967920"/>
    <w:rsid w:val="00967F53"/>
    <w:rsid w:val="009707EA"/>
    <w:rsid w:val="00970984"/>
    <w:rsid w:val="00970AF0"/>
    <w:rsid w:val="00971729"/>
    <w:rsid w:val="00971CC1"/>
    <w:rsid w:val="009720E5"/>
    <w:rsid w:val="0097256E"/>
    <w:rsid w:val="0097287C"/>
    <w:rsid w:val="00972FA9"/>
    <w:rsid w:val="009730D2"/>
    <w:rsid w:val="009736E8"/>
    <w:rsid w:val="00973A6F"/>
    <w:rsid w:val="00974A8F"/>
    <w:rsid w:val="009750D6"/>
    <w:rsid w:val="00976656"/>
    <w:rsid w:val="0097698A"/>
    <w:rsid w:val="009769C7"/>
    <w:rsid w:val="00976B4C"/>
    <w:rsid w:val="009770E6"/>
    <w:rsid w:val="00977B45"/>
    <w:rsid w:val="00980251"/>
    <w:rsid w:val="00980314"/>
    <w:rsid w:val="00980498"/>
    <w:rsid w:val="0098082B"/>
    <w:rsid w:val="00980898"/>
    <w:rsid w:val="00980A53"/>
    <w:rsid w:val="00981DCE"/>
    <w:rsid w:val="00982B6A"/>
    <w:rsid w:val="00982F60"/>
    <w:rsid w:val="00982FE3"/>
    <w:rsid w:val="009835E0"/>
    <w:rsid w:val="00983715"/>
    <w:rsid w:val="00983762"/>
    <w:rsid w:val="0098391F"/>
    <w:rsid w:val="00983DDF"/>
    <w:rsid w:val="00984AD8"/>
    <w:rsid w:val="00984E0F"/>
    <w:rsid w:val="00984E81"/>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F1"/>
    <w:rsid w:val="009A028B"/>
    <w:rsid w:val="009A0E51"/>
    <w:rsid w:val="009A3113"/>
    <w:rsid w:val="009A4EF9"/>
    <w:rsid w:val="009A5F38"/>
    <w:rsid w:val="009A68E9"/>
    <w:rsid w:val="009A7373"/>
    <w:rsid w:val="009A7CD6"/>
    <w:rsid w:val="009B0BAF"/>
    <w:rsid w:val="009B0C25"/>
    <w:rsid w:val="009B1DD1"/>
    <w:rsid w:val="009B2217"/>
    <w:rsid w:val="009B31D7"/>
    <w:rsid w:val="009B3370"/>
    <w:rsid w:val="009B3F11"/>
    <w:rsid w:val="009B436C"/>
    <w:rsid w:val="009B4CF5"/>
    <w:rsid w:val="009B5246"/>
    <w:rsid w:val="009B57AD"/>
    <w:rsid w:val="009B5889"/>
    <w:rsid w:val="009B5C23"/>
    <w:rsid w:val="009B6241"/>
    <w:rsid w:val="009B662F"/>
    <w:rsid w:val="009B6F57"/>
    <w:rsid w:val="009B73DD"/>
    <w:rsid w:val="009C0281"/>
    <w:rsid w:val="009C0D15"/>
    <w:rsid w:val="009C15A1"/>
    <w:rsid w:val="009C2243"/>
    <w:rsid w:val="009C224B"/>
    <w:rsid w:val="009C3E00"/>
    <w:rsid w:val="009C4455"/>
    <w:rsid w:val="009C4477"/>
    <w:rsid w:val="009C4765"/>
    <w:rsid w:val="009C6ACA"/>
    <w:rsid w:val="009C73B9"/>
    <w:rsid w:val="009C7D38"/>
    <w:rsid w:val="009C7FC2"/>
    <w:rsid w:val="009D1194"/>
    <w:rsid w:val="009D158A"/>
    <w:rsid w:val="009D1A52"/>
    <w:rsid w:val="009D2A05"/>
    <w:rsid w:val="009D2D44"/>
    <w:rsid w:val="009D379A"/>
    <w:rsid w:val="009D38F8"/>
    <w:rsid w:val="009D4448"/>
    <w:rsid w:val="009D4FF7"/>
    <w:rsid w:val="009D53B7"/>
    <w:rsid w:val="009D578A"/>
    <w:rsid w:val="009D5E55"/>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5D5F"/>
    <w:rsid w:val="009E6350"/>
    <w:rsid w:val="009E6D0D"/>
    <w:rsid w:val="009E714C"/>
    <w:rsid w:val="009E733D"/>
    <w:rsid w:val="009E7661"/>
    <w:rsid w:val="009E7D0A"/>
    <w:rsid w:val="009E7EC0"/>
    <w:rsid w:val="009F020D"/>
    <w:rsid w:val="009F07A2"/>
    <w:rsid w:val="009F1108"/>
    <w:rsid w:val="009F1F63"/>
    <w:rsid w:val="009F2193"/>
    <w:rsid w:val="009F242C"/>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2F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808"/>
    <w:rsid w:val="00A33975"/>
    <w:rsid w:val="00A33AF0"/>
    <w:rsid w:val="00A33CE7"/>
    <w:rsid w:val="00A34409"/>
    <w:rsid w:val="00A34AA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4612F"/>
    <w:rsid w:val="00A46513"/>
    <w:rsid w:val="00A500F1"/>
    <w:rsid w:val="00A50B26"/>
    <w:rsid w:val="00A50E0B"/>
    <w:rsid w:val="00A515EA"/>
    <w:rsid w:val="00A515FD"/>
    <w:rsid w:val="00A51DB9"/>
    <w:rsid w:val="00A523BD"/>
    <w:rsid w:val="00A52C1D"/>
    <w:rsid w:val="00A5342C"/>
    <w:rsid w:val="00A538DD"/>
    <w:rsid w:val="00A53D82"/>
    <w:rsid w:val="00A54EF9"/>
    <w:rsid w:val="00A55312"/>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053"/>
    <w:rsid w:val="00A642FA"/>
    <w:rsid w:val="00A64353"/>
    <w:rsid w:val="00A6443C"/>
    <w:rsid w:val="00A64581"/>
    <w:rsid w:val="00A66775"/>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6B66"/>
    <w:rsid w:val="00A773FD"/>
    <w:rsid w:val="00A77E45"/>
    <w:rsid w:val="00A80919"/>
    <w:rsid w:val="00A80DAC"/>
    <w:rsid w:val="00A81222"/>
    <w:rsid w:val="00A81403"/>
    <w:rsid w:val="00A81426"/>
    <w:rsid w:val="00A829EB"/>
    <w:rsid w:val="00A82DDE"/>
    <w:rsid w:val="00A8326A"/>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484"/>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5C47"/>
    <w:rsid w:val="00AA60D7"/>
    <w:rsid w:val="00AA6646"/>
    <w:rsid w:val="00AA6D16"/>
    <w:rsid w:val="00AA7A90"/>
    <w:rsid w:val="00AB0002"/>
    <w:rsid w:val="00AB0C3E"/>
    <w:rsid w:val="00AB0C75"/>
    <w:rsid w:val="00AB192F"/>
    <w:rsid w:val="00AB1CDD"/>
    <w:rsid w:val="00AB43BE"/>
    <w:rsid w:val="00AB4896"/>
    <w:rsid w:val="00AB4BB8"/>
    <w:rsid w:val="00AB579E"/>
    <w:rsid w:val="00AB5C50"/>
    <w:rsid w:val="00AB5EA1"/>
    <w:rsid w:val="00AB69DD"/>
    <w:rsid w:val="00AB722E"/>
    <w:rsid w:val="00AB7356"/>
    <w:rsid w:val="00AB754B"/>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6ED"/>
    <w:rsid w:val="00AC7C83"/>
    <w:rsid w:val="00AD0134"/>
    <w:rsid w:val="00AD1228"/>
    <w:rsid w:val="00AD15A6"/>
    <w:rsid w:val="00AD1F37"/>
    <w:rsid w:val="00AD240D"/>
    <w:rsid w:val="00AD26AF"/>
    <w:rsid w:val="00AD2E37"/>
    <w:rsid w:val="00AD2FF1"/>
    <w:rsid w:val="00AD3425"/>
    <w:rsid w:val="00AD3753"/>
    <w:rsid w:val="00AD38ED"/>
    <w:rsid w:val="00AD3960"/>
    <w:rsid w:val="00AD4824"/>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515"/>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763"/>
    <w:rsid w:val="00B178F5"/>
    <w:rsid w:val="00B205EE"/>
    <w:rsid w:val="00B20CF4"/>
    <w:rsid w:val="00B20F31"/>
    <w:rsid w:val="00B22328"/>
    <w:rsid w:val="00B2253A"/>
    <w:rsid w:val="00B22936"/>
    <w:rsid w:val="00B23DC9"/>
    <w:rsid w:val="00B24012"/>
    <w:rsid w:val="00B2439B"/>
    <w:rsid w:val="00B2497D"/>
    <w:rsid w:val="00B24A1D"/>
    <w:rsid w:val="00B25074"/>
    <w:rsid w:val="00B251E2"/>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3B1F"/>
    <w:rsid w:val="00B35BAA"/>
    <w:rsid w:val="00B365AC"/>
    <w:rsid w:val="00B3690F"/>
    <w:rsid w:val="00B401A2"/>
    <w:rsid w:val="00B40529"/>
    <w:rsid w:val="00B40737"/>
    <w:rsid w:val="00B41402"/>
    <w:rsid w:val="00B42223"/>
    <w:rsid w:val="00B425EB"/>
    <w:rsid w:val="00B42ABF"/>
    <w:rsid w:val="00B4364D"/>
    <w:rsid w:val="00B44FA5"/>
    <w:rsid w:val="00B4533F"/>
    <w:rsid w:val="00B5127E"/>
    <w:rsid w:val="00B51360"/>
    <w:rsid w:val="00B513DB"/>
    <w:rsid w:val="00B51ECA"/>
    <w:rsid w:val="00B5351F"/>
    <w:rsid w:val="00B53A4A"/>
    <w:rsid w:val="00B53D54"/>
    <w:rsid w:val="00B54F77"/>
    <w:rsid w:val="00B5600B"/>
    <w:rsid w:val="00B5690A"/>
    <w:rsid w:val="00B574B5"/>
    <w:rsid w:val="00B576A8"/>
    <w:rsid w:val="00B57C0C"/>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36FD"/>
    <w:rsid w:val="00B74AA9"/>
    <w:rsid w:val="00B7597A"/>
    <w:rsid w:val="00B7666E"/>
    <w:rsid w:val="00B76ABB"/>
    <w:rsid w:val="00B775C3"/>
    <w:rsid w:val="00B77939"/>
    <w:rsid w:val="00B80170"/>
    <w:rsid w:val="00B81349"/>
    <w:rsid w:val="00B81800"/>
    <w:rsid w:val="00B82587"/>
    <w:rsid w:val="00B825EB"/>
    <w:rsid w:val="00B82B22"/>
    <w:rsid w:val="00B8437F"/>
    <w:rsid w:val="00B8485E"/>
    <w:rsid w:val="00B8583E"/>
    <w:rsid w:val="00B8743C"/>
    <w:rsid w:val="00B8792F"/>
    <w:rsid w:val="00B87CE6"/>
    <w:rsid w:val="00B9032C"/>
    <w:rsid w:val="00B90974"/>
    <w:rsid w:val="00B90DDA"/>
    <w:rsid w:val="00B91361"/>
    <w:rsid w:val="00B917B1"/>
    <w:rsid w:val="00B9195A"/>
    <w:rsid w:val="00B9333B"/>
    <w:rsid w:val="00B93A8B"/>
    <w:rsid w:val="00B93F26"/>
    <w:rsid w:val="00B94380"/>
    <w:rsid w:val="00B94EB8"/>
    <w:rsid w:val="00B95121"/>
    <w:rsid w:val="00B96979"/>
    <w:rsid w:val="00B97DC4"/>
    <w:rsid w:val="00B97F59"/>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CC4"/>
    <w:rsid w:val="00BC250D"/>
    <w:rsid w:val="00BC2D16"/>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1D6"/>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C5B"/>
    <w:rsid w:val="00C43EC3"/>
    <w:rsid w:val="00C44014"/>
    <w:rsid w:val="00C44111"/>
    <w:rsid w:val="00C447C3"/>
    <w:rsid w:val="00C44D76"/>
    <w:rsid w:val="00C45029"/>
    <w:rsid w:val="00C46D64"/>
    <w:rsid w:val="00C46DAD"/>
    <w:rsid w:val="00C47EAC"/>
    <w:rsid w:val="00C50951"/>
    <w:rsid w:val="00C529AC"/>
    <w:rsid w:val="00C52F77"/>
    <w:rsid w:val="00C53151"/>
    <w:rsid w:val="00C5393A"/>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9"/>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290C"/>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3CF0"/>
    <w:rsid w:val="00CA401C"/>
    <w:rsid w:val="00CA56F2"/>
    <w:rsid w:val="00CA62FF"/>
    <w:rsid w:val="00CA6891"/>
    <w:rsid w:val="00CA69E2"/>
    <w:rsid w:val="00CA6E53"/>
    <w:rsid w:val="00CA727D"/>
    <w:rsid w:val="00CB00B3"/>
    <w:rsid w:val="00CB180F"/>
    <w:rsid w:val="00CB3389"/>
    <w:rsid w:val="00CB4E46"/>
    <w:rsid w:val="00CB5B73"/>
    <w:rsid w:val="00CB6260"/>
    <w:rsid w:val="00CB6574"/>
    <w:rsid w:val="00CB6E73"/>
    <w:rsid w:val="00CB70FE"/>
    <w:rsid w:val="00CB7EB4"/>
    <w:rsid w:val="00CC0394"/>
    <w:rsid w:val="00CC03EE"/>
    <w:rsid w:val="00CC1571"/>
    <w:rsid w:val="00CC1B2F"/>
    <w:rsid w:val="00CC2967"/>
    <w:rsid w:val="00CC4743"/>
    <w:rsid w:val="00CC4858"/>
    <w:rsid w:val="00CC5936"/>
    <w:rsid w:val="00CC5997"/>
    <w:rsid w:val="00CC6041"/>
    <w:rsid w:val="00CC66BF"/>
    <w:rsid w:val="00CC6951"/>
    <w:rsid w:val="00CC7142"/>
    <w:rsid w:val="00CD0686"/>
    <w:rsid w:val="00CD0797"/>
    <w:rsid w:val="00CD097C"/>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5F9"/>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17F1B"/>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6CE6"/>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ED3"/>
    <w:rsid w:val="00D461FA"/>
    <w:rsid w:val="00D463DB"/>
    <w:rsid w:val="00D466E5"/>
    <w:rsid w:val="00D46D94"/>
    <w:rsid w:val="00D471FF"/>
    <w:rsid w:val="00D479AD"/>
    <w:rsid w:val="00D47CA2"/>
    <w:rsid w:val="00D47E59"/>
    <w:rsid w:val="00D50A89"/>
    <w:rsid w:val="00D50E8A"/>
    <w:rsid w:val="00D51AAA"/>
    <w:rsid w:val="00D52147"/>
    <w:rsid w:val="00D53151"/>
    <w:rsid w:val="00D53F55"/>
    <w:rsid w:val="00D54145"/>
    <w:rsid w:val="00D549A5"/>
    <w:rsid w:val="00D54F0C"/>
    <w:rsid w:val="00D5553D"/>
    <w:rsid w:val="00D56104"/>
    <w:rsid w:val="00D5637B"/>
    <w:rsid w:val="00D57C0B"/>
    <w:rsid w:val="00D57C4F"/>
    <w:rsid w:val="00D60B55"/>
    <w:rsid w:val="00D60F73"/>
    <w:rsid w:val="00D616E9"/>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44"/>
    <w:rsid w:val="00D74BA9"/>
    <w:rsid w:val="00D74EB3"/>
    <w:rsid w:val="00D77296"/>
    <w:rsid w:val="00D778B1"/>
    <w:rsid w:val="00D8035A"/>
    <w:rsid w:val="00D80C1F"/>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05C"/>
    <w:rsid w:val="00D93515"/>
    <w:rsid w:val="00D93F17"/>
    <w:rsid w:val="00D9439A"/>
    <w:rsid w:val="00D94AFF"/>
    <w:rsid w:val="00D95A05"/>
    <w:rsid w:val="00D9664F"/>
    <w:rsid w:val="00D97806"/>
    <w:rsid w:val="00D97CDF"/>
    <w:rsid w:val="00DA1682"/>
    <w:rsid w:val="00DA282F"/>
    <w:rsid w:val="00DA2884"/>
    <w:rsid w:val="00DA3500"/>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29ED"/>
    <w:rsid w:val="00DB3167"/>
    <w:rsid w:val="00DB331B"/>
    <w:rsid w:val="00DB36C6"/>
    <w:rsid w:val="00DB3CFA"/>
    <w:rsid w:val="00DB3F09"/>
    <w:rsid w:val="00DB4353"/>
    <w:rsid w:val="00DB4668"/>
    <w:rsid w:val="00DB4DC4"/>
    <w:rsid w:val="00DB4FC4"/>
    <w:rsid w:val="00DB53C2"/>
    <w:rsid w:val="00DB53E2"/>
    <w:rsid w:val="00DB5E3C"/>
    <w:rsid w:val="00DB6DFE"/>
    <w:rsid w:val="00DB71BA"/>
    <w:rsid w:val="00DB75ED"/>
    <w:rsid w:val="00DB769B"/>
    <w:rsid w:val="00DB7F03"/>
    <w:rsid w:val="00DC039A"/>
    <w:rsid w:val="00DC069C"/>
    <w:rsid w:val="00DC176D"/>
    <w:rsid w:val="00DC19CC"/>
    <w:rsid w:val="00DC1E99"/>
    <w:rsid w:val="00DC2890"/>
    <w:rsid w:val="00DC28CA"/>
    <w:rsid w:val="00DC43F5"/>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18C"/>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902"/>
    <w:rsid w:val="00DF0B15"/>
    <w:rsid w:val="00DF1075"/>
    <w:rsid w:val="00DF14C0"/>
    <w:rsid w:val="00DF224A"/>
    <w:rsid w:val="00DF428C"/>
    <w:rsid w:val="00DF4819"/>
    <w:rsid w:val="00DF5BB5"/>
    <w:rsid w:val="00DF71A2"/>
    <w:rsid w:val="00DF74C1"/>
    <w:rsid w:val="00DF7FA1"/>
    <w:rsid w:val="00E00264"/>
    <w:rsid w:val="00E00DD5"/>
    <w:rsid w:val="00E01A0A"/>
    <w:rsid w:val="00E01D96"/>
    <w:rsid w:val="00E01E92"/>
    <w:rsid w:val="00E027DC"/>
    <w:rsid w:val="00E02F94"/>
    <w:rsid w:val="00E03831"/>
    <w:rsid w:val="00E03EDB"/>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16C0D"/>
    <w:rsid w:val="00E200B1"/>
    <w:rsid w:val="00E20EAC"/>
    <w:rsid w:val="00E2178C"/>
    <w:rsid w:val="00E22054"/>
    <w:rsid w:val="00E22714"/>
    <w:rsid w:val="00E23457"/>
    <w:rsid w:val="00E243DC"/>
    <w:rsid w:val="00E24727"/>
    <w:rsid w:val="00E24901"/>
    <w:rsid w:val="00E24F17"/>
    <w:rsid w:val="00E2584D"/>
    <w:rsid w:val="00E25BAC"/>
    <w:rsid w:val="00E26A2A"/>
    <w:rsid w:val="00E26EE6"/>
    <w:rsid w:val="00E2772B"/>
    <w:rsid w:val="00E27860"/>
    <w:rsid w:val="00E27E43"/>
    <w:rsid w:val="00E3034E"/>
    <w:rsid w:val="00E31865"/>
    <w:rsid w:val="00E31B72"/>
    <w:rsid w:val="00E31D36"/>
    <w:rsid w:val="00E31F01"/>
    <w:rsid w:val="00E3451F"/>
    <w:rsid w:val="00E34A43"/>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5DFA"/>
    <w:rsid w:val="00E46503"/>
    <w:rsid w:val="00E4651B"/>
    <w:rsid w:val="00E46692"/>
    <w:rsid w:val="00E46781"/>
    <w:rsid w:val="00E46DBB"/>
    <w:rsid w:val="00E46E5C"/>
    <w:rsid w:val="00E47B21"/>
    <w:rsid w:val="00E50145"/>
    <w:rsid w:val="00E5130C"/>
    <w:rsid w:val="00E51562"/>
    <w:rsid w:val="00E51DB6"/>
    <w:rsid w:val="00E52ED2"/>
    <w:rsid w:val="00E551FC"/>
    <w:rsid w:val="00E56146"/>
    <w:rsid w:val="00E568C1"/>
    <w:rsid w:val="00E570D3"/>
    <w:rsid w:val="00E57295"/>
    <w:rsid w:val="00E60817"/>
    <w:rsid w:val="00E60C5B"/>
    <w:rsid w:val="00E60F8C"/>
    <w:rsid w:val="00E61541"/>
    <w:rsid w:val="00E651FD"/>
    <w:rsid w:val="00E656C9"/>
    <w:rsid w:val="00E65E49"/>
    <w:rsid w:val="00E6686B"/>
    <w:rsid w:val="00E66C47"/>
    <w:rsid w:val="00E670AF"/>
    <w:rsid w:val="00E67B75"/>
    <w:rsid w:val="00E67CEA"/>
    <w:rsid w:val="00E70195"/>
    <w:rsid w:val="00E7073E"/>
    <w:rsid w:val="00E70F88"/>
    <w:rsid w:val="00E7352A"/>
    <w:rsid w:val="00E735FB"/>
    <w:rsid w:val="00E73A5B"/>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4BD3"/>
    <w:rsid w:val="00E95258"/>
    <w:rsid w:val="00E95965"/>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0E5D"/>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5B65"/>
    <w:rsid w:val="00EC6F05"/>
    <w:rsid w:val="00EC7324"/>
    <w:rsid w:val="00EC7D61"/>
    <w:rsid w:val="00ED030F"/>
    <w:rsid w:val="00ED05DC"/>
    <w:rsid w:val="00ED16F1"/>
    <w:rsid w:val="00ED2575"/>
    <w:rsid w:val="00ED286F"/>
    <w:rsid w:val="00ED3583"/>
    <w:rsid w:val="00ED3D43"/>
    <w:rsid w:val="00ED4DF9"/>
    <w:rsid w:val="00ED5BB1"/>
    <w:rsid w:val="00ED5ECB"/>
    <w:rsid w:val="00ED6468"/>
    <w:rsid w:val="00ED64C5"/>
    <w:rsid w:val="00ED76AE"/>
    <w:rsid w:val="00EE06A0"/>
    <w:rsid w:val="00EE0891"/>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070"/>
    <w:rsid w:val="00EF546A"/>
    <w:rsid w:val="00EF59A7"/>
    <w:rsid w:val="00EF5D27"/>
    <w:rsid w:val="00EF5D95"/>
    <w:rsid w:val="00EF5F42"/>
    <w:rsid w:val="00EF6669"/>
    <w:rsid w:val="00EF7238"/>
    <w:rsid w:val="00EF7AE0"/>
    <w:rsid w:val="00F002C0"/>
    <w:rsid w:val="00F020F5"/>
    <w:rsid w:val="00F025B7"/>
    <w:rsid w:val="00F02F4F"/>
    <w:rsid w:val="00F04C21"/>
    <w:rsid w:val="00F0553E"/>
    <w:rsid w:val="00F0657E"/>
    <w:rsid w:val="00F0667C"/>
    <w:rsid w:val="00F0771E"/>
    <w:rsid w:val="00F07BC1"/>
    <w:rsid w:val="00F10D93"/>
    <w:rsid w:val="00F10E39"/>
    <w:rsid w:val="00F10F32"/>
    <w:rsid w:val="00F11810"/>
    <w:rsid w:val="00F11CF8"/>
    <w:rsid w:val="00F11F87"/>
    <w:rsid w:val="00F12D14"/>
    <w:rsid w:val="00F1319C"/>
    <w:rsid w:val="00F1329E"/>
    <w:rsid w:val="00F13B74"/>
    <w:rsid w:val="00F13DA4"/>
    <w:rsid w:val="00F140F6"/>
    <w:rsid w:val="00F15CAA"/>
    <w:rsid w:val="00F1654A"/>
    <w:rsid w:val="00F174A7"/>
    <w:rsid w:val="00F20425"/>
    <w:rsid w:val="00F20DA0"/>
    <w:rsid w:val="00F2101B"/>
    <w:rsid w:val="00F21397"/>
    <w:rsid w:val="00F21682"/>
    <w:rsid w:val="00F23357"/>
    <w:rsid w:val="00F233E1"/>
    <w:rsid w:val="00F23734"/>
    <w:rsid w:val="00F2431B"/>
    <w:rsid w:val="00F24FBB"/>
    <w:rsid w:val="00F256CB"/>
    <w:rsid w:val="00F259F7"/>
    <w:rsid w:val="00F26368"/>
    <w:rsid w:val="00F26D61"/>
    <w:rsid w:val="00F303A3"/>
    <w:rsid w:val="00F30EE1"/>
    <w:rsid w:val="00F312ED"/>
    <w:rsid w:val="00F31543"/>
    <w:rsid w:val="00F31593"/>
    <w:rsid w:val="00F31D54"/>
    <w:rsid w:val="00F32142"/>
    <w:rsid w:val="00F32924"/>
    <w:rsid w:val="00F330AA"/>
    <w:rsid w:val="00F33469"/>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C32"/>
    <w:rsid w:val="00F43E76"/>
    <w:rsid w:val="00F44928"/>
    <w:rsid w:val="00F44AE3"/>
    <w:rsid w:val="00F450ED"/>
    <w:rsid w:val="00F479D9"/>
    <w:rsid w:val="00F47A32"/>
    <w:rsid w:val="00F50519"/>
    <w:rsid w:val="00F50853"/>
    <w:rsid w:val="00F50D49"/>
    <w:rsid w:val="00F51140"/>
    <w:rsid w:val="00F5120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59FA"/>
    <w:rsid w:val="00F665C6"/>
    <w:rsid w:val="00F6699B"/>
    <w:rsid w:val="00F66D62"/>
    <w:rsid w:val="00F67075"/>
    <w:rsid w:val="00F671E1"/>
    <w:rsid w:val="00F675F1"/>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5A6"/>
    <w:rsid w:val="00F86D68"/>
    <w:rsid w:val="00F87C68"/>
    <w:rsid w:val="00F908D1"/>
    <w:rsid w:val="00F90A11"/>
    <w:rsid w:val="00F90E82"/>
    <w:rsid w:val="00F91353"/>
    <w:rsid w:val="00F917E8"/>
    <w:rsid w:val="00F9186A"/>
    <w:rsid w:val="00F9228F"/>
    <w:rsid w:val="00F92A62"/>
    <w:rsid w:val="00F93925"/>
    <w:rsid w:val="00F9422E"/>
    <w:rsid w:val="00F949B3"/>
    <w:rsid w:val="00F95CF2"/>
    <w:rsid w:val="00F95ED7"/>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1CBB"/>
    <w:rsid w:val="00FB2826"/>
    <w:rsid w:val="00FB2A6F"/>
    <w:rsid w:val="00FB2D86"/>
    <w:rsid w:val="00FB3203"/>
    <w:rsid w:val="00FB3DEB"/>
    <w:rsid w:val="00FB40DD"/>
    <w:rsid w:val="00FB4509"/>
    <w:rsid w:val="00FB453F"/>
    <w:rsid w:val="00FB4A88"/>
    <w:rsid w:val="00FB4FE1"/>
    <w:rsid w:val="00FB5C0F"/>
    <w:rsid w:val="00FB63CD"/>
    <w:rsid w:val="00FB7005"/>
    <w:rsid w:val="00FC1377"/>
    <w:rsid w:val="00FC3A84"/>
    <w:rsid w:val="00FC4007"/>
    <w:rsid w:val="00FC48DF"/>
    <w:rsid w:val="00FC505C"/>
    <w:rsid w:val="00FC5986"/>
    <w:rsid w:val="00FC63EE"/>
    <w:rsid w:val="00FC643D"/>
    <w:rsid w:val="00FC6AFD"/>
    <w:rsid w:val="00FC77E4"/>
    <w:rsid w:val="00FC7989"/>
    <w:rsid w:val="00FD03F9"/>
    <w:rsid w:val="00FD046F"/>
    <w:rsid w:val="00FD080B"/>
    <w:rsid w:val="00FD0C11"/>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B07"/>
    <w:rsid w:val="00FE3057"/>
    <w:rsid w:val="00FE33DF"/>
    <w:rsid w:val="00FE35ED"/>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3FA"/>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77B7C"/>
  <w15:docId w15:val="{6B7FEEB0-9329-478B-8D2F-B32FBC80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no,break,Head4,41,42,43,411,421,44,412"/>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aliases w:val="Figure Heading,FH"/>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autoRedefine/>
    <w:uiPriority w:val="34"/>
    <w:qFormat/>
    <w:rsid w:val="002E79FD"/>
    <w:pPr>
      <w:numPr>
        <w:numId w:val="27"/>
      </w:numPr>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 w:type="paragraph" w:customStyle="1" w:styleId="H6">
    <w:name w:val="H6"/>
    <w:basedOn w:val="Heading5"/>
    <w:next w:val="Normal"/>
    <w:rsid w:val="00C5393A"/>
    <w:pPr>
      <w:numPr>
        <w:ilvl w:val="0"/>
        <w:numId w:val="0"/>
      </w:numPr>
      <w:overflowPunct w:val="0"/>
      <w:autoSpaceDE w:val="0"/>
      <w:autoSpaceDN w:val="0"/>
      <w:adjustRightInd w:val="0"/>
      <w:ind w:left="1985" w:hanging="1985"/>
      <w:textAlignment w:val="baseline"/>
      <w:outlineLvl w:val="9"/>
    </w:pPr>
    <w:rPr>
      <w:sz w:val="20"/>
      <w:lang w:eastAsia="zh-CN"/>
    </w:rPr>
  </w:style>
  <w:style w:type="paragraph" w:customStyle="1" w:styleId="B1">
    <w:name w:val="B1"/>
    <w:basedOn w:val="List"/>
    <w:link w:val="B1Char"/>
    <w:rsid w:val="00C5393A"/>
    <w:pPr>
      <w:overflowPunct w:val="0"/>
      <w:autoSpaceDE w:val="0"/>
      <w:autoSpaceDN w:val="0"/>
      <w:adjustRightInd w:val="0"/>
      <w:ind w:left="568" w:hanging="284"/>
      <w:contextualSpacing w:val="0"/>
      <w:textAlignment w:val="baseline"/>
    </w:pPr>
  </w:style>
  <w:style w:type="character" w:customStyle="1" w:styleId="B1Char">
    <w:name w:val="B1 Char"/>
    <w:link w:val="B1"/>
    <w:rsid w:val="00C5393A"/>
    <w:rPr>
      <w:rFonts w:ascii="Times New Roman" w:eastAsia="Times New Roman" w:hAnsi="Times New Roman" w:cs="Times New Roman"/>
      <w:sz w:val="20"/>
      <w:szCs w:val="20"/>
      <w:lang w:val="en-GB"/>
    </w:rPr>
  </w:style>
  <w:style w:type="paragraph" w:customStyle="1" w:styleId="EQ">
    <w:name w:val="EQ"/>
    <w:basedOn w:val="Normal"/>
    <w:next w:val="Normal"/>
    <w:rsid w:val="00C5393A"/>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link w:val="TFChar"/>
    <w:rsid w:val="00C5393A"/>
    <w:pPr>
      <w:keepNext w:val="0"/>
      <w:overflowPunct w:val="0"/>
      <w:autoSpaceDE w:val="0"/>
      <w:autoSpaceDN w:val="0"/>
      <w:adjustRightInd w:val="0"/>
      <w:spacing w:before="0" w:after="240"/>
      <w:textAlignment w:val="baseline"/>
    </w:pPr>
    <w:rPr>
      <w:bCs/>
    </w:rPr>
  </w:style>
  <w:style w:type="character" w:customStyle="1" w:styleId="TFChar">
    <w:name w:val="TF Char"/>
    <w:link w:val="TF"/>
    <w:rsid w:val="00C5393A"/>
    <w:rPr>
      <w:rFonts w:ascii="Arial" w:eastAsia="Times New Roman" w:hAnsi="Arial" w:cs="Times New Roman"/>
      <w:b/>
      <w:bCs/>
      <w:sz w:val="20"/>
      <w:szCs w:val="20"/>
      <w:lang w:val="en-GB"/>
    </w:rPr>
  </w:style>
  <w:style w:type="paragraph" w:styleId="List">
    <w:name w:val="List"/>
    <w:basedOn w:val="Normal"/>
    <w:uiPriority w:val="99"/>
    <w:semiHidden/>
    <w:unhideWhenUsed/>
    <w:rsid w:val="00C5393A"/>
    <w:pPr>
      <w:ind w:left="360" w:hanging="360"/>
      <w:contextualSpacing/>
    </w:pPr>
  </w:style>
  <w:style w:type="paragraph" w:customStyle="1" w:styleId="NO">
    <w:name w:val="NO"/>
    <w:basedOn w:val="Normal"/>
    <w:link w:val="NOChar"/>
    <w:rsid w:val="00A76B66"/>
    <w:pPr>
      <w:keepLines/>
      <w:overflowPunct w:val="0"/>
      <w:autoSpaceDE w:val="0"/>
      <w:autoSpaceDN w:val="0"/>
      <w:adjustRightInd w:val="0"/>
      <w:ind w:left="1135" w:hanging="851"/>
      <w:textAlignment w:val="baseline"/>
    </w:pPr>
  </w:style>
  <w:style w:type="character" w:customStyle="1" w:styleId="NOChar">
    <w:name w:val="NO Char"/>
    <w:link w:val="NO"/>
    <w:rsid w:val="00A76B66"/>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2D494E"/>
    <w:pPr>
      <w:overflowPunct w:val="0"/>
      <w:autoSpaceDE w:val="0"/>
      <w:autoSpaceDN w:val="0"/>
      <w:adjustRightInd w:val="0"/>
      <w:spacing w:before="120" w:after="120"/>
      <w:textAlignment w:val="baseline"/>
    </w:pPr>
    <w:rPr>
      <w:rFonts w:eastAsia="MS Mincho"/>
      <w:b/>
      <w:sz w:val="22"/>
      <w:lang w:val="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basedOn w:val="DefaultParagraphFont"/>
    <w:link w:val="Caption"/>
    <w:rsid w:val="002D494E"/>
    <w:rPr>
      <w:rFonts w:ascii="Times New Roman" w:eastAsia="MS Mincho" w:hAnsi="Times New Roman" w:cs="Times New Roman"/>
      <w:b/>
      <w:szCs w:val="20"/>
      <w:lang w:eastAsia="en-US"/>
    </w:rPr>
  </w:style>
  <w:style w:type="paragraph" w:customStyle="1" w:styleId="Doc-text2">
    <w:name w:val="Doc-text2"/>
    <w:basedOn w:val="Normal"/>
    <w:link w:val="Doc-text2Char"/>
    <w:qFormat/>
    <w:rsid w:val="002D49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2D494E"/>
    <w:rPr>
      <w:rFonts w:ascii="Arial" w:eastAsia="MS Mincho" w:hAnsi="Arial" w:cs="Times New Roman"/>
      <w:sz w:val="20"/>
      <w:szCs w:val="24"/>
      <w:lang w:val="en-GB" w:eastAsia="en-GB"/>
    </w:rPr>
  </w:style>
  <w:style w:type="character" w:customStyle="1" w:styleId="ListParagraphChar">
    <w:name w:val="List Paragraph Char"/>
    <w:link w:val="ListParagraph"/>
    <w:uiPriority w:val="34"/>
    <w:locked/>
    <w:rsid w:val="001E5E0E"/>
    <w:rPr>
      <w:rFonts w:ascii="Times New Roman" w:eastAsia="Times New Roman" w:hAnsi="Times New Roman" w:cs="Times New Roman"/>
      <w:sz w:val="20"/>
      <w:szCs w:val="24"/>
      <w:lang w:val="en-GB" w:eastAsia="en-US"/>
    </w:rPr>
  </w:style>
  <w:style w:type="paragraph" w:customStyle="1" w:styleId="00BodyText">
    <w:name w:val="00 BodyText"/>
    <w:basedOn w:val="Normal"/>
    <w:rsid w:val="00D26CE6"/>
    <w:pPr>
      <w:spacing w:after="220"/>
    </w:pPr>
    <w:rPr>
      <w:rFonts w:ascii="Arial" w:hAnsi="Arial"/>
      <w:sz w:val="22"/>
      <w:lang w:val="en-US"/>
    </w:rPr>
  </w:style>
  <w:style w:type="character" w:styleId="PlaceholderText">
    <w:name w:val="Placeholder Text"/>
    <w:basedOn w:val="DefaultParagraphFont"/>
    <w:uiPriority w:val="99"/>
    <w:semiHidden/>
    <w:rsid w:val="00091B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oleObject" Target="embeddings/oleObject29.bin"/><Relationship Id="rId68" Type="http://schemas.openxmlformats.org/officeDocument/2006/relationships/image" Target="media/image30.wmf"/><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image" Target="media/image29.jpeg"/><Relationship Id="rId74" Type="http://schemas.openxmlformats.org/officeDocument/2006/relationships/oleObject" Target="embeddings/oleObject37.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5.bin"/><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image" Target="media/image27.wmf"/><Relationship Id="rId70" Type="http://schemas.openxmlformats.org/officeDocument/2006/relationships/oleObject" Target="embeddings/oleObject33.bin"/><Relationship Id="rId75"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563DC-C4A1-4383-9731-EF60386C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4</Pages>
  <Words>1978</Words>
  <Characters>11276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76</cp:revision>
  <cp:lastPrinted>2016-10-31T18:59:00Z</cp:lastPrinted>
  <dcterms:created xsi:type="dcterms:W3CDTF">2016-10-27T13:44:00Z</dcterms:created>
  <dcterms:modified xsi:type="dcterms:W3CDTF">2016-11-03T23:06:00Z</dcterms:modified>
</cp:coreProperties>
</file>